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81AD" w14:textId="6DA4F75D" w:rsidR="00136335" w:rsidRDefault="00C73FC0" w:rsidP="00136335">
      <w:pPr>
        <w:rPr>
          <w:rFonts w:cstheme="minorBidi"/>
          <w:b/>
        </w:rPr>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p>
    <w:p w14:paraId="7104BD29" w14:textId="0EA940D4" w:rsidR="00136335" w:rsidRDefault="00136335" w:rsidP="00136335">
      <w:pPr>
        <w:pStyle w:val="Titre1"/>
        <w:jc w:val="left"/>
      </w:pPr>
      <w:r>
        <w:t xml:space="preserve">Chapitre </w:t>
      </w:r>
      <w:r w:rsidR="009517EE">
        <w:t>7</w:t>
      </w:r>
      <w:r>
        <w:t xml:space="preserve"> : L’évaluation des </w:t>
      </w:r>
      <w:r w:rsidR="009517EE">
        <w:t>stocks</w:t>
      </w:r>
      <w:r>
        <w:t xml:space="preserve"> à la clôture de l’exercice </w:t>
      </w:r>
    </w:p>
    <w:p w14:paraId="7297A547" w14:textId="77777777" w:rsidR="009517EE" w:rsidRPr="009517EE" w:rsidRDefault="009517EE" w:rsidP="009517EE"/>
    <w:p w14:paraId="3EAC98F8" w14:textId="01CB89A0" w:rsidR="009517EE" w:rsidRPr="009517EE" w:rsidRDefault="009517EE" w:rsidP="009517EE">
      <w:r>
        <w:t>À</w:t>
      </w:r>
      <w:r w:rsidRPr="009517EE">
        <w:t xml:space="preserve"> la clôture de l’exercice, en vue de réaliser l’établissement des documents de synthèse, il faut, au préalable, procéder à un inventaire physique des stocks</w:t>
      </w:r>
      <w:r w:rsidRPr="009517EE">
        <w:rPr>
          <w:color w:val="444444"/>
        </w:rPr>
        <w:t xml:space="preserve">. </w:t>
      </w:r>
      <w:r w:rsidRPr="009517EE">
        <w:t>Cette nécessité résulte :</w:t>
      </w:r>
    </w:p>
    <w:p w14:paraId="7E752573" w14:textId="77777777" w:rsidR="009517EE" w:rsidRPr="009517EE" w:rsidRDefault="009517EE" w:rsidP="009517EE">
      <w:r w:rsidRPr="009517EE">
        <w:t xml:space="preserve">- de l’utilisation de </w:t>
      </w:r>
      <w:r w:rsidRPr="009517EE">
        <w:rPr>
          <w:rStyle w:val="lev"/>
        </w:rPr>
        <w:t>la méthode de l’inventaire intermittent</w:t>
      </w:r>
      <w:r w:rsidRPr="009517EE">
        <w:t xml:space="preserve"> pour </w:t>
      </w:r>
      <w:r w:rsidRPr="009517EE">
        <w:rPr>
          <w:rStyle w:val="lev"/>
          <w:b w:val="0"/>
        </w:rPr>
        <w:t>le suivi des stocks. En effet, c</w:t>
      </w:r>
      <w:r w:rsidRPr="009517EE">
        <w:t>e type d’inventaire consiste à n’</w:t>
      </w:r>
      <w:r w:rsidRPr="009517EE">
        <w:rPr>
          <w:rStyle w:val="lev"/>
          <w:b w:val="0"/>
        </w:rPr>
        <w:t>effectuer une comptabilisation</w:t>
      </w:r>
      <w:r w:rsidRPr="009517EE">
        <w:t xml:space="preserve"> des </w:t>
      </w:r>
      <w:r w:rsidRPr="009517EE">
        <w:rPr>
          <w:rStyle w:val="lev"/>
          <w:b w:val="0"/>
        </w:rPr>
        <w:t>stocks qu’une fois par an, en fin de période comptable</w:t>
      </w:r>
      <w:r w:rsidRPr="009517EE">
        <w:t>, et d’enregistrer les mouvements des stocks dans des comptes d’achat et de vente.</w:t>
      </w:r>
    </w:p>
    <w:p w14:paraId="6F2AB84B" w14:textId="77777777" w:rsidR="009517EE" w:rsidRPr="009517EE" w:rsidRDefault="009517EE" w:rsidP="009517EE">
      <w:r w:rsidRPr="009517EE">
        <w:t xml:space="preserve">- du </w:t>
      </w:r>
      <w:r w:rsidRPr="009517EE">
        <w:rPr>
          <w:b/>
          <w:bCs/>
        </w:rPr>
        <w:t>principe d’indépendance des exercices</w:t>
      </w:r>
      <w:r w:rsidRPr="009517EE">
        <w:t xml:space="preserve"> qui veut que les comptes de charges et de produits soient ajustés à la clôture de l’exercice, de manière à inclure les charges et les produits résultant de l’activité de l’entreprise au cours de l’exercice, et rien que ceux-ci.</w:t>
      </w:r>
    </w:p>
    <w:p w14:paraId="54ECF77A" w14:textId="77777777" w:rsidR="009517EE" w:rsidRPr="009517EE" w:rsidRDefault="009517EE" w:rsidP="009517EE"/>
    <w:p w14:paraId="21DEE242" w14:textId="5098F39C" w:rsidR="009517EE" w:rsidRPr="00FE7CD1" w:rsidRDefault="009517EE" w:rsidP="009517EE">
      <w:pPr>
        <w:pStyle w:val="Titre2"/>
      </w:pPr>
      <w:r>
        <w:t>L’</w:t>
      </w:r>
      <w:r w:rsidRPr="00FE7CD1">
        <w:t xml:space="preserve">évaluation des stocks </w:t>
      </w:r>
    </w:p>
    <w:p w14:paraId="7E9AB6C5" w14:textId="77777777" w:rsidR="009517EE" w:rsidRPr="00FE7CD1" w:rsidRDefault="009517EE" w:rsidP="009517EE">
      <w:r w:rsidRPr="00FE7CD1">
        <w:rPr>
          <w:b/>
          <w:bCs/>
        </w:rPr>
        <w:t>L</w:t>
      </w:r>
      <w:r>
        <w:rPr>
          <w:b/>
          <w:bCs/>
        </w:rPr>
        <w:t>’</w:t>
      </w:r>
      <w:r w:rsidRPr="00FE7CD1">
        <w:rPr>
          <w:b/>
          <w:bCs/>
        </w:rPr>
        <w:t>inventaire physique des stocks</w:t>
      </w:r>
      <w:r w:rsidRPr="00FE7CD1">
        <w:t xml:space="preserve"> permet de dénombrer les stocks à l</w:t>
      </w:r>
      <w:r>
        <w:t>’</w:t>
      </w:r>
      <w:r w:rsidRPr="00FE7CD1">
        <w:t>inventaire</w:t>
      </w:r>
      <w:r>
        <w:t>,</w:t>
      </w:r>
      <w:r w:rsidRPr="00FE7CD1">
        <w:t xml:space="preserve"> puis de valoriser les futures sorties de stocks selon une méthode</w:t>
      </w:r>
      <w:r>
        <w:t xml:space="preserve"> </w:t>
      </w:r>
      <w:r w:rsidRPr="00FE7CD1">
        <w:t>choisi</w:t>
      </w:r>
      <w:r>
        <w:t>e</w:t>
      </w:r>
      <w:r w:rsidRPr="00FE7CD1">
        <w:t xml:space="preserve"> en fonction de l</w:t>
      </w:r>
      <w:r>
        <w:t>’</w:t>
      </w:r>
      <w:r w:rsidRPr="00FE7CD1">
        <w:t>activité de l</w:t>
      </w:r>
      <w:r>
        <w:t>’</w:t>
      </w:r>
      <w:r w:rsidRPr="00FE7CD1">
        <w:t>entreprise (seule la méthode du coût unitaire pondéré est étudiée en terminale STMG)</w:t>
      </w:r>
      <w:r>
        <w:t>.</w:t>
      </w:r>
    </w:p>
    <w:p w14:paraId="106297A2" w14:textId="77777777" w:rsidR="009517EE" w:rsidRPr="00FE7CD1" w:rsidRDefault="009517EE" w:rsidP="009517EE">
      <w:r w:rsidRPr="00FE7CD1">
        <w:rPr>
          <w:b/>
          <w:bCs/>
        </w:rPr>
        <w:t>Le coût unitaire moyen pondéré</w:t>
      </w:r>
      <w:r w:rsidRPr="00FE7CD1">
        <w:rPr>
          <w:b/>
          <w:bCs/>
          <w:i/>
          <w:iCs/>
        </w:rPr>
        <w:t xml:space="preserve"> </w:t>
      </w:r>
      <w:r w:rsidRPr="00C94538">
        <w:t>(CUMP)</w:t>
      </w:r>
      <w:r w:rsidRPr="00FE7CD1">
        <w:t xml:space="preserve"> est une moyenne pondérée des coûts unitaires des entrées de la période</w:t>
      </w:r>
      <w:r>
        <w:t>.</w:t>
      </w:r>
    </w:p>
    <w:p w14:paraId="315FE344" w14:textId="77777777" w:rsidR="009517EE" w:rsidRPr="009517EE" w:rsidRDefault="009517EE" w:rsidP="009517EE">
      <w:pPr>
        <w:pBdr>
          <w:top w:val="single" w:sz="4" w:space="1" w:color="auto"/>
          <w:left w:val="single" w:sz="4" w:space="4" w:color="auto"/>
          <w:bottom w:val="single" w:sz="4" w:space="1" w:color="auto"/>
          <w:right w:val="single" w:sz="4" w:space="4" w:color="auto"/>
        </w:pBdr>
        <w:spacing w:after="0"/>
        <w:ind w:left="1418" w:right="1701"/>
        <w:jc w:val="center"/>
        <w:rPr>
          <w:b/>
          <w:bCs/>
          <w:sz w:val="24"/>
          <w:szCs w:val="24"/>
        </w:rPr>
      </w:pPr>
      <w:r w:rsidRPr="009517EE">
        <w:rPr>
          <w:b/>
          <w:bCs/>
        </w:rPr>
        <w:t xml:space="preserve">CUMP = </w:t>
      </w:r>
      <w:r w:rsidRPr="009517EE">
        <w:rPr>
          <w:b/>
          <w:bCs/>
          <w:u w:val="single"/>
        </w:rPr>
        <w:t>(stock initial + entrées) en valeur</w:t>
      </w:r>
    </w:p>
    <w:p w14:paraId="469E7122" w14:textId="77777777" w:rsidR="009517EE" w:rsidRPr="009517EE" w:rsidRDefault="009517EE" w:rsidP="009517EE">
      <w:pPr>
        <w:pBdr>
          <w:top w:val="single" w:sz="4" w:space="1" w:color="auto"/>
          <w:left w:val="single" w:sz="4" w:space="4" w:color="auto"/>
          <w:bottom w:val="single" w:sz="4" w:space="1" w:color="auto"/>
          <w:right w:val="single" w:sz="4" w:space="4" w:color="auto"/>
        </w:pBdr>
        <w:ind w:left="1418" w:right="1701" w:firstLine="709"/>
        <w:jc w:val="center"/>
        <w:rPr>
          <w:b/>
          <w:bCs/>
          <w:sz w:val="24"/>
          <w:szCs w:val="24"/>
        </w:rPr>
      </w:pPr>
      <w:r w:rsidRPr="009517EE">
        <w:rPr>
          <w:b/>
          <w:bCs/>
        </w:rPr>
        <w:t>(stock initial + entrées) en quantité</w:t>
      </w:r>
    </w:p>
    <w:p w14:paraId="4766FF7D" w14:textId="77777777" w:rsidR="009517EE" w:rsidRPr="00FE7CD1" w:rsidRDefault="009517EE" w:rsidP="009517EE"/>
    <w:p w14:paraId="55644BF4" w14:textId="77777777" w:rsidR="009517EE" w:rsidRPr="00FE7CD1" w:rsidRDefault="009517EE" w:rsidP="009517EE">
      <w:r w:rsidRPr="00FE7CD1">
        <w:t>Une fois la méthode d</w:t>
      </w:r>
      <w:r>
        <w:t>’</w:t>
      </w:r>
      <w:r w:rsidRPr="00FE7CD1">
        <w:t>évaluation choisie, l</w:t>
      </w:r>
      <w:r>
        <w:t>’</w:t>
      </w:r>
      <w:r w:rsidRPr="00FE7CD1">
        <w:t>entreprise ne pourra pas en changer</w:t>
      </w:r>
      <w:r>
        <w:t>,</w:t>
      </w:r>
      <w:r w:rsidRPr="00FE7CD1">
        <w:t xml:space="preserve"> </w:t>
      </w:r>
      <w:r>
        <w:t>selon</w:t>
      </w:r>
      <w:r w:rsidRPr="00FE7CD1">
        <w:t xml:space="preserve"> </w:t>
      </w:r>
      <w:r w:rsidRPr="00FE7CD1">
        <w:rPr>
          <w:b/>
          <w:bCs/>
        </w:rPr>
        <w:t>le principe de permanence des méthodes</w:t>
      </w:r>
      <w:r>
        <w:rPr>
          <w:b/>
          <w:bCs/>
        </w:rPr>
        <w:t>,</w:t>
      </w:r>
      <w:r w:rsidRPr="00FE7CD1">
        <w:rPr>
          <w:b/>
          <w:bCs/>
        </w:rPr>
        <w:t xml:space="preserve"> </w:t>
      </w:r>
      <w:r w:rsidRPr="00FE7CD1">
        <w:t>sauf cas exceptionnel</w:t>
      </w:r>
      <w:r>
        <w:t>.</w:t>
      </w:r>
    </w:p>
    <w:p w14:paraId="03C2BEEA" w14:textId="66F12B41" w:rsidR="009517EE" w:rsidRDefault="009517EE" w:rsidP="009517EE">
      <w:pPr>
        <w:rPr>
          <w:rFonts w:eastAsia="Wingdings"/>
          <w:b/>
          <w:bCs/>
        </w:rPr>
      </w:pPr>
    </w:p>
    <w:p w14:paraId="4D1546DC" w14:textId="77777777" w:rsidR="0056408A" w:rsidRPr="00FE7CD1" w:rsidRDefault="0056408A" w:rsidP="009517EE">
      <w:pPr>
        <w:rPr>
          <w:rFonts w:eastAsia="Wingdings"/>
          <w:b/>
          <w:bCs/>
        </w:rPr>
      </w:pPr>
    </w:p>
    <w:p w14:paraId="6122C05E" w14:textId="28246425" w:rsidR="009517EE" w:rsidRPr="00FE7CD1" w:rsidRDefault="009517EE" w:rsidP="009517EE">
      <w:pPr>
        <w:pStyle w:val="Titre2"/>
      </w:pPr>
      <w:r>
        <w:lastRenderedPageBreak/>
        <w:t>L’</w:t>
      </w:r>
      <w:r w:rsidRPr="00FE7CD1">
        <w:t>enregistrement comptable</w:t>
      </w:r>
    </w:p>
    <w:p w14:paraId="0D3ABA2E" w14:textId="17229B50" w:rsidR="009517EE" w:rsidRPr="009517EE" w:rsidRDefault="009517EE" w:rsidP="009517EE">
      <w:pPr>
        <w:rPr>
          <w:b/>
          <w:bCs/>
        </w:rPr>
      </w:pPr>
      <w:r w:rsidRPr="009517EE">
        <w:rPr>
          <w:b/>
          <w:bCs/>
        </w:rPr>
        <w:t xml:space="preserve">Avant les écritures d’inventaire : </w:t>
      </w:r>
    </w:p>
    <w:p w14:paraId="21053CFF" w14:textId="2DE906E2" w:rsidR="009517EE" w:rsidRPr="00FE7CD1" w:rsidRDefault="009517EE" w:rsidP="009517EE">
      <w:r w:rsidRPr="00FE7CD1">
        <w:t>- le bilan fait apparaître dans ses actifs circulants la valeur des stocks au début de l</w:t>
      </w:r>
      <w:r>
        <w:t>’</w:t>
      </w:r>
      <w:r w:rsidRPr="00FE7CD1">
        <w:t>exercice comptable</w:t>
      </w:r>
      <w:r>
        <w:t> ;</w:t>
      </w:r>
    </w:p>
    <w:p w14:paraId="6101C4A6" w14:textId="77777777" w:rsidR="009517EE" w:rsidRPr="00FE7CD1" w:rsidRDefault="009517EE" w:rsidP="009517EE">
      <w:r w:rsidRPr="00FE7CD1">
        <w:t>- le compte de résultat</w:t>
      </w:r>
      <w:r>
        <w:t xml:space="preserve"> fait apparaître </w:t>
      </w:r>
      <w:r w:rsidRPr="00FE7CD1">
        <w:t>l</w:t>
      </w:r>
      <w:r>
        <w:t>’</w:t>
      </w:r>
      <w:r w:rsidRPr="00FE7CD1">
        <w:t>ensemble des achats et des ventes réalisés au cours de l</w:t>
      </w:r>
      <w:r>
        <w:t>’</w:t>
      </w:r>
      <w:r w:rsidRPr="00FE7CD1">
        <w:t>exercice, sans tenir compte de l</w:t>
      </w:r>
      <w:r>
        <w:t>’</w:t>
      </w:r>
      <w:r w:rsidRPr="00FE7CD1">
        <w:t>exercice au cours duquel ils sont consommés ou produits.</w:t>
      </w:r>
    </w:p>
    <w:p w14:paraId="1BE1EF1F" w14:textId="77777777" w:rsidR="009517EE" w:rsidRPr="00FE7CD1" w:rsidRDefault="009517EE" w:rsidP="009517EE"/>
    <w:p w14:paraId="459F316F" w14:textId="77777777" w:rsidR="009517EE" w:rsidRPr="00FE7CD1" w:rsidRDefault="009517EE" w:rsidP="009517EE">
      <w:r w:rsidRPr="00FE7CD1">
        <w:t>Les écritures vont donc consister à remplacer les stocks initiaux par les stocks finaux et à régulariser les comptes d</w:t>
      </w:r>
      <w:r>
        <w:t>’</w:t>
      </w:r>
      <w:r w:rsidRPr="00FE7CD1">
        <w:t xml:space="preserve">achats et de ventes en déterminant le montant des variations de stocks. </w:t>
      </w:r>
    </w:p>
    <w:p w14:paraId="07383982" w14:textId="5A786712" w:rsidR="009517EE" w:rsidRDefault="009517EE" w:rsidP="009517EE">
      <w:r w:rsidRPr="00FE7CD1">
        <w:t>Pour cela on va</w:t>
      </w:r>
      <w:r>
        <w:t> :</w:t>
      </w:r>
    </w:p>
    <w:p w14:paraId="1302DCF6" w14:textId="25CE48E4" w:rsidR="009517EE" w:rsidRDefault="009517EE" w:rsidP="009517EE">
      <w:r>
        <w:t xml:space="preserve">- </w:t>
      </w:r>
      <w:r w:rsidRPr="00FE7CD1">
        <w:t xml:space="preserve">dans un premier temps, </w:t>
      </w:r>
      <w:r w:rsidRPr="00FE7CD1">
        <w:rPr>
          <w:b/>
          <w:bCs/>
        </w:rPr>
        <w:t>annuler les stocks initiaux</w:t>
      </w:r>
      <w:r w:rsidRPr="00FE7CD1">
        <w:t xml:space="preserve"> en créditant les comptes de stocks (classe 3) par le débit des comptes de variation de stocks (comptes 603 ou 7135), </w:t>
      </w:r>
    </w:p>
    <w:p w14:paraId="6FE38DB3" w14:textId="6EB039E5" w:rsidR="009517EE" w:rsidRDefault="009517EE" w:rsidP="009517EE">
      <w:r>
        <w:t xml:space="preserve">- </w:t>
      </w:r>
      <w:r w:rsidRPr="00FE7CD1">
        <w:t xml:space="preserve">puis dans un deuxième temps, </w:t>
      </w:r>
      <w:r w:rsidRPr="00FE7CD1">
        <w:rPr>
          <w:b/>
          <w:bCs/>
        </w:rPr>
        <w:t>constater les stocks finaux</w:t>
      </w:r>
      <w:r w:rsidRPr="00FE7CD1">
        <w:t xml:space="preserve"> en débitant les comptes de stocks par le crédit des comptes de variations de stocks.</w:t>
      </w:r>
    </w:p>
    <w:p w14:paraId="07BFFF0C" w14:textId="77777777" w:rsidR="009517EE" w:rsidRPr="00FE7CD1" w:rsidRDefault="009517EE" w:rsidP="009517EE"/>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87"/>
        <w:gridCol w:w="644"/>
        <w:gridCol w:w="4110"/>
        <w:gridCol w:w="1814"/>
        <w:gridCol w:w="1837"/>
      </w:tblGrid>
      <w:tr w:rsidR="009517EE" w14:paraId="54EC3E23" w14:textId="77777777" w:rsidTr="00917ECC">
        <w:tc>
          <w:tcPr>
            <w:tcW w:w="687" w:type="dxa"/>
            <w:tcBorders>
              <w:top w:val="single" w:sz="2" w:space="0" w:color="000000"/>
              <w:left w:val="single" w:sz="2" w:space="0" w:color="000000"/>
              <w:bottom w:val="single" w:sz="2" w:space="0" w:color="000000"/>
              <w:right w:val="nil"/>
            </w:tcBorders>
          </w:tcPr>
          <w:p w14:paraId="6BA81BF0" w14:textId="77777777" w:rsidR="009517EE" w:rsidRPr="00FE7CD1" w:rsidRDefault="009517EE" w:rsidP="00917ECC">
            <w:pPr>
              <w:pStyle w:val="Contenudetableau"/>
              <w:snapToGrid w:val="0"/>
              <w:rPr>
                <w:sz w:val="22"/>
                <w:szCs w:val="22"/>
              </w:rPr>
            </w:pPr>
          </w:p>
          <w:p w14:paraId="2B44C950" w14:textId="77777777" w:rsidR="009517EE" w:rsidRPr="00FE7CD1" w:rsidRDefault="009517EE" w:rsidP="00917ECC">
            <w:pPr>
              <w:pStyle w:val="Contenudetableau"/>
              <w:rPr>
                <w:sz w:val="22"/>
                <w:szCs w:val="22"/>
              </w:rPr>
            </w:pPr>
            <w:r w:rsidRPr="00FE7CD1">
              <w:rPr>
                <w:sz w:val="22"/>
                <w:szCs w:val="22"/>
              </w:rPr>
              <w:t>6031</w:t>
            </w:r>
          </w:p>
          <w:p w14:paraId="08EBD71C" w14:textId="77777777" w:rsidR="009517EE" w:rsidRPr="00FE7CD1" w:rsidRDefault="009517EE" w:rsidP="00917ECC">
            <w:pPr>
              <w:pStyle w:val="Contenudetableau"/>
              <w:rPr>
                <w:sz w:val="22"/>
                <w:szCs w:val="22"/>
              </w:rPr>
            </w:pPr>
            <w:r w:rsidRPr="00FE7CD1">
              <w:rPr>
                <w:sz w:val="22"/>
                <w:szCs w:val="22"/>
              </w:rPr>
              <w:t>6037</w:t>
            </w:r>
          </w:p>
          <w:p w14:paraId="5AA806DE" w14:textId="77777777" w:rsidR="009517EE" w:rsidRPr="00FE7CD1" w:rsidRDefault="009517EE" w:rsidP="00917ECC">
            <w:pPr>
              <w:pStyle w:val="Contenudetableau"/>
              <w:rPr>
                <w:sz w:val="22"/>
                <w:szCs w:val="22"/>
              </w:rPr>
            </w:pPr>
            <w:r w:rsidRPr="00FE7CD1">
              <w:rPr>
                <w:sz w:val="22"/>
                <w:szCs w:val="22"/>
              </w:rPr>
              <w:t>7135</w:t>
            </w:r>
          </w:p>
        </w:tc>
        <w:tc>
          <w:tcPr>
            <w:tcW w:w="644" w:type="dxa"/>
            <w:tcBorders>
              <w:top w:val="single" w:sz="2" w:space="0" w:color="000000"/>
              <w:left w:val="single" w:sz="2" w:space="0" w:color="000000"/>
              <w:bottom w:val="single" w:sz="2" w:space="0" w:color="000000"/>
              <w:right w:val="nil"/>
            </w:tcBorders>
          </w:tcPr>
          <w:p w14:paraId="7B1C473D" w14:textId="77777777" w:rsidR="009517EE" w:rsidRPr="00FE7CD1" w:rsidRDefault="009517EE" w:rsidP="00917ECC">
            <w:pPr>
              <w:pStyle w:val="Contenudetableau"/>
              <w:snapToGrid w:val="0"/>
              <w:rPr>
                <w:sz w:val="22"/>
                <w:szCs w:val="22"/>
              </w:rPr>
            </w:pPr>
          </w:p>
          <w:p w14:paraId="06E5F223" w14:textId="77777777" w:rsidR="009517EE" w:rsidRPr="00FE7CD1" w:rsidRDefault="009517EE" w:rsidP="00917ECC">
            <w:pPr>
              <w:pStyle w:val="Contenudetableau"/>
              <w:rPr>
                <w:sz w:val="22"/>
                <w:szCs w:val="22"/>
              </w:rPr>
            </w:pPr>
          </w:p>
          <w:p w14:paraId="3E86EFAC" w14:textId="77777777" w:rsidR="009517EE" w:rsidRPr="00FE7CD1" w:rsidRDefault="009517EE" w:rsidP="00917ECC">
            <w:pPr>
              <w:pStyle w:val="Contenudetableau"/>
              <w:rPr>
                <w:sz w:val="22"/>
                <w:szCs w:val="22"/>
              </w:rPr>
            </w:pPr>
          </w:p>
          <w:p w14:paraId="59A573D9" w14:textId="77777777" w:rsidR="009517EE" w:rsidRPr="00FE7CD1" w:rsidRDefault="009517EE" w:rsidP="00917ECC">
            <w:pPr>
              <w:pStyle w:val="Contenudetableau"/>
              <w:rPr>
                <w:sz w:val="22"/>
                <w:szCs w:val="22"/>
              </w:rPr>
            </w:pPr>
          </w:p>
          <w:p w14:paraId="3B5A27EB" w14:textId="77777777" w:rsidR="009517EE" w:rsidRPr="00FE7CD1" w:rsidRDefault="009517EE" w:rsidP="00917ECC">
            <w:pPr>
              <w:pStyle w:val="Contenudetableau"/>
              <w:rPr>
                <w:sz w:val="22"/>
                <w:szCs w:val="22"/>
              </w:rPr>
            </w:pPr>
            <w:r w:rsidRPr="00FE7CD1">
              <w:rPr>
                <w:sz w:val="22"/>
                <w:szCs w:val="22"/>
              </w:rPr>
              <w:t>310</w:t>
            </w:r>
            <w:r w:rsidRPr="00FE7CD1">
              <w:rPr>
                <w:sz w:val="22"/>
                <w:szCs w:val="22"/>
              </w:rPr>
              <w:br/>
              <w:t>370</w:t>
            </w:r>
            <w:r w:rsidRPr="00FE7CD1">
              <w:rPr>
                <w:sz w:val="22"/>
                <w:szCs w:val="22"/>
              </w:rPr>
              <w:br/>
              <w:t>355</w:t>
            </w:r>
          </w:p>
          <w:p w14:paraId="0CBA4548" w14:textId="77777777" w:rsidR="009517EE" w:rsidRPr="00FE7CD1" w:rsidRDefault="009517EE" w:rsidP="00917ECC">
            <w:pPr>
              <w:pStyle w:val="Contenudetableau"/>
              <w:rPr>
                <w:sz w:val="22"/>
                <w:szCs w:val="22"/>
              </w:rPr>
            </w:pPr>
          </w:p>
        </w:tc>
        <w:tc>
          <w:tcPr>
            <w:tcW w:w="4110" w:type="dxa"/>
            <w:tcBorders>
              <w:top w:val="single" w:sz="2" w:space="0" w:color="000000"/>
              <w:left w:val="single" w:sz="2" w:space="0" w:color="000000"/>
              <w:bottom w:val="single" w:sz="2" w:space="0" w:color="000000"/>
              <w:right w:val="nil"/>
            </w:tcBorders>
            <w:hideMark/>
          </w:tcPr>
          <w:p w14:paraId="610085A4" w14:textId="77777777" w:rsidR="009517EE" w:rsidRPr="009517EE" w:rsidRDefault="009517EE" w:rsidP="00917ECC">
            <w:pPr>
              <w:pStyle w:val="Contenudetableau"/>
              <w:jc w:val="center"/>
              <w:rPr>
                <w:rFonts w:asciiTheme="minorHAnsi" w:hAnsiTheme="minorHAnsi" w:cstheme="minorHAnsi"/>
                <w:sz w:val="22"/>
                <w:szCs w:val="22"/>
              </w:rPr>
            </w:pPr>
            <w:r w:rsidRPr="009517EE">
              <w:rPr>
                <w:rFonts w:asciiTheme="minorHAnsi" w:hAnsiTheme="minorHAnsi" w:cstheme="minorHAnsi"/>
                <w:sz w:val="22"/>
                <w:szCs w:val="22"/>
              </w:rPr>
              <w:t>31/12/N</w:t>
            </w:r>
          </w:p>
          <w:p w14:paraId="6C13BE0A" w14:textId="342DA308" w:rsidR="009517EE" w:rsidRPr="009517EE" w:rsidRDefault="009517EE" w:rsidP="00917ECC">
            <w:pPr>
              <w:pStyle w:val="Contenudetableau"/>
              <w:rPr>
                <w:rFonts w:asciiTheme="minorHAnsi" w:hAnsiTheme="minorHAnsi" w:cstheme="minorHAnsi"/>
                <w:sz w:val="22"/>
                <w:szCs w:val="22"/>
              </w:rPr>
            </w:pPr>
            <w:r w:rsidRPr="009517EE">
              <w:rPr>
                <w:rFonts w:asciiTheme="minorHAnsi" w:hAnsiTheme="minorHAnsi" w:cstheme="minorHAnsi"/>
                <w:sz w:val="22"/>
                <w:szCs w:val="22"/>
              </w:rPr>
              <w:t>Variation de stock de mat</w:t>
            </w:r>
            <w:r w:rsidRPr="009517EE">
              <w:rPr>
                <w:rFonts w:asciiTheme="minorHAnsi" w:hAnsiTheme="minorHAnsi" w:cstheme="minorHAnsi"/>
                <w:sz w:val="22"/>
                <w:szCs w:val="22"/>
              </w:rPr>
              <w:t>ières</w:t>
            </w:r>
            <w:r w:rsidRPr="009517EE">
              <w:rPr>
                <w:rFonts w:asciiTheme="minorHAnsi" w:hAnsiTheme="minorHAnsi" w:cstheme="minorHAnsi"/>
                <w:sz w:val="22"/>
                <w:szCs w:val="22"/>
              </w:rPr>
              <w:t xml:space="preserve"> 1</w:t>
            </w:r>
            <w:r w:rsidRPr="009517EE">
              <w:rPr>
                <w:rFonts w:asciiTheme="minorHAnsi" w:hAnsiTheme="minorHAnsi" w:cstheme="minorHAnsi"/>
                <w:sz w:val="22"/>
                <w:szCs w:val="22"/>
                <w:vertAlign w:val="superscript"/>
              </w:rPr>
              <w:t>res</w:t>
            </w:r>
          </w:p>
          <w:p w14:paraId="4C6E8130" w14:textId="77777777" w:rsidR="009517EE" w:rsidRPr="009517EE" w:rsidRDefault="009517EE" w:rsidP="00917ECC">
            <w:pPr>
              <w:pStyle w:val="Contenudetableau"/>
              <w:rPr>
                <w:rFonts w:asciiTheme="minorHAnsi" w:hAnsiTheme="minorHAnsi" w:cstheme="minorHAnsi"/>
                <w:sz w:val="22"/>
                <w:szCs w:val="22"/>
              </w:rPr>
            </w:pPr>
            <w:r w:rsidRPr="009517EE">
              <w:rPr>
                <w:rFonts w:asciiTheme="minorHAnsi" w:hAnsiTheme="minorHAnsi" w:cstheme="minorHAnsi"/>
                <w:sz w:val="22"/>
                <w:szCs w:val="22"/>
              </w:rPr>
              <w:t>Variation de stock de marchandises</w:t>
            </w:r>
          </w:p>
          <w:p w14:paraId="465EFC82" w14:textId="77777777" w:rsidR="009517EE" w:rsidRPr="009517EE" w:rsidRDefault="009517EE" w:rsidP="00917ECC">
            <w:pPr>
              <w:pStyle w:val="Contenudetableau"/>
              <w:rPr>
                <w:rFonts w:asciiTheme="minorHAnsi" w:hAnsiTheme="minorHAnsi" w:cstheme="minorHAnsi"/>
                <w:sz w:val="22"/>
                <w:szCs w:val="22"/>
              </w:rPr>
            </w:pPr>
            <w:r w:rsidRPr="009517EE">
              <w:rPr>
                <w:rFonts w:asciiTheme="minorHAnsi" w:hAnsiTheme="minorHAnsi" w:cstheme="minorHAnsi"/>
                <w:sz w:val="22"/>
                <w:szCs w:val="22"/>
              </w:rPr>
              <w:t>Variation de stock de produits finis</w:t>
            </w:r>
          </w:p>
          <w:p w14:paraId="4509DA8C" w14:textId="3A2ABB0D" w:rsidR="009517EE" w:rsidRPr="009517EE" w:rsidRDefault="009517EE" w:rsidP="00917ECC">
            <w:pPr>
              <w:pStyle w:val="Contenudetableau"/>
              <w:rPr>
                <w:rFonts w:asciiTheme="minorHAnsi" w:hAnsiTheme="minorHAnsi" w:cstheme="minorHAnsi"/>
                <w:sz w:val="22"/>
                <w:szCs w:val="22"/>
              </w:rPr>
            </w:pPr>
            <w:r w:rsidRPr="009517EE">
              <w:rPr>
                <w:rFonts w:asciiTheme="minorHAnsi" w:hAnsiTheme="minorHAnsi" w:cstheme="minorHAnsi"/>
                <w:sz w:val="22"/>
                <w:szCs w:val="22"/>
              </w:rPr>
              <w:t>Stock de mat</w:t>
            </w:r>
            <w:r w:rsidRPr="009517EE">
              <w:rPr>
                <w:rFonts w:asciiTheme="minorHAnsi" w:hAnsiTheme="minorHAnsi" w:cstheme="minorHAnsi"/>
                <w:sz w:val="22"/>
                <w:szCs w:val="22"/>
              </w:rPr>
              <w:t>ières</w:t>
            </w:r>
            <w:r w:rsidRPr="009517EE">
              <w:rPr>
                <w:rFonts w:asciiTheme="minorHAnsi" w:hAnsiTheme="minorHAnsi" w:cstheme="minorHAnsi"/>
                <w:sz w:val="22"/>
                <w:szCs w:val="22"/>
              </w:rPr>
              <w:t xml:space="preserve"> 1</w:t>
            </w:r>
            <w:r w:rsidRPr="009517EE">
              <w:rPr>
                <w:rFonts w:asciiTheme="minorHAnsi" w:hAnsiTheme="minorHAnsi" w:cstheme="minorHAnsi"/>
                <w:sz w:val="22"/>
                <w:szCs w:val="22"/>
                <w:vertAlign w:val="superscript"/>
              </w:rPr>
              <w:t>res</w:t>
            </w:r>
          </w:p>
          <w:p w14:paraId="2612061A" w14:textId="77777777" w:rsidR="009517EE" w:rsidRPr="009517EE" w:rsidRDefault="009517EE" w:rsidP="00917ECC">
            <w:pPr>
              <w:pStyle w:val="Contenudetableau"/>
              <w:rPr>
                <w:rFonts w:asciiTheme="minorHAnsi" w:hAnsiTheme="minorHAnsi" w:cstheme="minorHAnsi"/>
                <w:sz w:val="22"/>
                <w:szCs w:val="22"/>
              </w:rPr>
            </w:pPr>
            <w:r w:rsidRPr="009517EE">
              <w:rPr>
                <w:rFonts w:asciiTheme="minorHAnsi" w:hAnsiTheme="minorHAnsi" w:cstheme="minorHAnsi"/>
                <w:sz w:val="22"/>
                <w:szCs w:val="22"/>
              </w:rPr>
              <w:t>Stock de marchandises</w:t>
            </w:r>
          </w:p>
          <w:p w14:paraId="1C80D3BC" w14:textId="77777777" w:rsidR="009517EE" w:rsidRPr="009517EE" w:rsidRDefault="009517EE" w:rsidP="00917ECC">
            <w:pPr>
              <w:pStyle w:val="Contenudetableau"/>
              <w:rPr>
                <w:rFonts w:asciiTheme="minorHAnsi" w:hAnsiTheme="minorHAnsi" w:cstheme="minorHAnsi"/>
                <w:sz w:val="22"/>
                <w:szCs w:val="22"/>
              </w:rPr>
            </w:pPr>
            <w:r w:rsidRPr="009517EE">
              <w:rPr>
                <w:rFonts w:asciiTheme="minorHAnsi" w:hAnsiTheme="minorHAnsi" w:cstheme="minorHAnsi"/>
                <w:sz w:val="22"/>
                <w:szCs w:val="22"/>
              </w:rPr>
              <w:t>Stock de produits finis</w:t>
            </w:r>
          </w:p>
          <w:p w14:paraId="1547A74B" w14:textId="77777777" w:rsidR="009517EE" w:rsidRPr="009517EE" w:rsidRDefault="009517EE" w:rsidP="00917ECC">
            <w:pPr>
              <w:pStyle w:val="Contenudetableau"/>
              <w:rPr>
                <w:rFonts w:asciiTheme="minorHAnsi" w:hAnsiTheme="minorHAnsi" w:cstheme="minorHAnsi"/>
                <w:sz w:val="22"/>
                <w:szCs w:val="22"/>
              </w:rPr>
            </w:pPr>
            <w:r w:rsidRPr="009517EE">
              <w:rPr>
                <w:rFonts w:asciiTheme="minorHAnsi" w:hAnsiTheme="minorHAnsi" w:cstheme="minorHAnsi"/>
                <w:i/>
                <w:iCs/>
                <w:sz w:val="22"/>
                <w:szCs w:val="22"/>
              </w:rPr>
              <w:t xml:space="preserve">Annulation du </w:t>
            </w:r>
            <w:r w:rsidRPr="009517EE">
              <w:rPr>
                <w:rFonts w:asciiTheme="minorHAnsi" w:hAnsiTheme="minorHAnsi" w:cstheme="minorHAnsi"/>
                <w:b/>
                <w:bCs/>
                <w:i/>
                <w:iCs/>
                <w:sz w:val="22"/>
                <w:szCs w:val="22"/>
              </w:rPr>
              <w:t>stock initial</w:t>
            </w:r>
          </w:p>
        </w:tc>
        <w:tc>
          <w:tcPr>
            <w:tcW w:w="1814" w:type="dxa"/>
            <w:tcBorders>
              <w:top w:val="single" w:sz="2" w:space="0" w:color="000000"/>
              <w:left w:val="single" w:sz="2" w:space="0" w:color="000000"/>
              <w:bottom w:val="single" w:sz="2" w:space="0" w:color="000000"/>
              <w:right w:val="nil"/>
            </w:tcBorders>
          </w:tcPr>
          <w:p w14:paraId="78E9B379" w14:textId="77777777" w:rsidR="009517EE" w:rsidRPr="009517EE" w:rsidRDefault="009517EE" w:rsidP="00917ECC">
            <w:pPr>
              <w:suppressLineNumbers/>
              <w:shd w:val="clear" w:color="auto" w:fill="FFFFFF"/>
              <w:snapToGrid w:val="0"/>
              <w:ind w:right="283"/>
              <w:jc w:val="center"/>
            </w:pPr>
          </w:p>
          <w:p w14:paraId="389710E2" w14:textId="034F12B0" w:rsidR="009517EE" w:rsidRPr="009517EE" w:rsidRDefault="009517EE" w:rsidP="00917ECC">
            <w:pPr>
              <w:suppressLineNumbers/>
              <w:shd w:val="clear" w:color="auto" w:fill="FFFFFF"/>
              <w:ind w:right="283"/>
              <w:jc w:val="center"/>
              <w:rPr>
                <w:lang w:val="de-DE"/>
              </w:rPr>
            </w:pPr>
            <w:r w:rsidRPr="009517EE">
              <w:rPr>
                <w:lang w:val="de-DE"/>
              </w:rPr>
              <w:t xml:space="preserve">Mt </w:t>
            </w:r>
            <w:r w:rsidR="0056408A">
              <w:rPr>
                <w:lang w:val="de-DE"/>
              </w:rPr>
              <w:t>s</w:t>
            </w:r>
            <w:r w:rsidRPr="009517EE">
              <w:rPr>
                <w:lang w:val="de-DE"/>
              </w:rPr>
              <w:t>tock initial</w:t>
            </w:r>
          </w:p>
          <w:p w14:paraId="166F858C" w14:textId="2A97132B" w:rsidR="009517EE" w:rsidRPr="009517EE" w:rsidRDefault="009517EE" w:rsidP="00917ECC">
            <w:pPr>
              <w:suppressLineNumbers/>
              <w:shd w:val="clear" w:color="auto" w:fill="FFFFFF"/>
              <w:ind w:right="283"/>
              <w:jc w:val="center"/>
              <w:rPr>
                <w:lang w:val="de-DE"/>
              </w:rPr>
            </w:pPr>
            <w:r w:rsidRPr="009517EE">
              <w:rPr>
                <w:lang w:val="de-DE"/>
              </w:rPr>
              <w:t xml:space="preserve">Mt </w:t>
            </w:r>
            <w:r w:rsidR="0056408A">
              <w:rPr>
                <w:lang w:val="de-DE"/>
              </w:rPr>
              <w:t>s</w:t>
            </w:r>
            <w:r w:rsidRPr="009517EE">
              <w:rPr>
                <w:lang w:val="de-DE"/>
              </w:rPr>
              <w:t>tock initial</w:t>
            </w:r>
          </w:p>
          <w:p w14:paraId="4F62FE5C" w14:textId="7409F885" w:rsidR="009517EE" w:rsidRPr="009517EE" w:rsidRDefault="009517EE" w:rsidP="00917ECC">
            <w:pPr>
              <w:suppressLineNumbers/>
              <w:shd w:val="clear" w:color="auto" w:fill="FFFFFF"/>
              <w:ind w:right="283"/>
              <w:jc w:val="center"/>
            </w:pPr>
            <w:r w:rsidRPr="009517EE">
              <w:t xml:space="preserve">Mt </w:t>
            </w:r>
            <w:r w:rsidR="0056408A">
              <w:t>s</w:t>
            </w:r>
            <w:r w:rsidRPr="009517EE">
              <w:t>tock initial</w:t>
            </w:r>
          </w:p>
        </w:tc>
        <w:tc>
          <w:tcPr>
            <w:tcW w:w="1837" w:type="dxa"/>
            <w:tcBorders>
              <w:top w:val="single" w:sz="2" w:space="0" w:color="000000"/>
              <w:left w:val="single" w:sz="2" w:space="0" w:color="000000"/>
              <w:bottom w:val="single" w:sz="2" w:space="0" w:color="000000"/>
              <w:right w:val="single" w:sz="2" w:space="0" w:color="000000"/>
            </w:tcBorders>
          </w:tcPr>
          <w:p w14:paraId="23C4F999" w14:textId="77777777" w:rsidR="009517EE" w:rsidRPr="009517EE" w:rsidRDefault="009517EE" w:rsidP="00917ECC">
            <w:pPr>
              <w:pStyle w:val="Contenudetableau"/>
              <w:shd w:val="clear" w:color="auto" w:fill="FFFFFF"/>
              <w:snapToGrid w:val="0"/>
              <w:ind w:right="283"/>
              <w:jc w:val="right"/>
              <w:rPr>
                <w:rFonts w:asciiTheme="minorHAnsi" w:hAnsiTheme="minorHAnsi" w:cstheme="minorHAnsi"/>
                <w:sz w:val="22"/>
                <w:szCs w:val="22"/>
                <w:lang w:val="de-DE"/>
              </w:rPr>
            </w:pPr>
          </w:p>
          <w:p w14:paraId="56A824D1" w14:textId="77777777" w:rsidR="009517EE" w:rsidRPr="009517EE" w:rsidRDefault="009517EE" w:rsidP="00917ECC">
            <w:pPr>
              <w:pStyle w:val="Contenudetableau"/>
              <w:shd w:val="clear" w:color="auto" w:fill="FFFFFF"/>
              <w:ind w:right="283"/>
              <w:jc w:val="right"/>
              <w:rPr>
                <w:rFonts w:asciiTheme="minorHAnsi" w:hAnsiTheme="minorHAnsi" w:cstheme="minorHAnsi"/>
                <w:sz w:val="22"/>
                <w:szCs w:val="22"/>
                <w:lang w:val="de-DE"/>
              </w:rPr>
            </w:pPr>
          </w:p>
          <w:p w14:paraId="0B9955A6" w14:textId="77777777" w:rsidR="009517EE" w:rsidRPr="009517EE" w:rsidRDefault="009517EE" w:rsidP="00917ECC">
            <w:pPr>
              <w:pStyle w:val="Contenudetableau"/>
              <w:shd w:val="clear" w:color="auto" w:fill="FFFFFF"/>
              <w:ind w:right="283"/>
              <w:jc w:val="right"/>
              <w:rPr>
                <w:rFonts w:asciiTheme="minorHAnsi" w:hAnsiTheme="minorHAnsi" w:cstheme="minorHAnsi"/>
                <w:sz w:val="22"/>
                <w:szCs w:val="22"/>
                <w:lang w:val="de-DE"/>
              </w:rPr>
            </w:pPr>
          </w:p>
          <w:p w14:paraId="14776E1D" w14:textId="77777777" w:rsidR="009517EE" w:rsidRPr="009517EE" w:rsidRDefault="009517EE" w:rsidP="00917ECC">
            <w:pPr>
              <w:pStyle w:val="Contenudetableau"/>
              <w:shd w:val="clear" w:color="auto" w:fill="FFFFFF"/>
              <w:ind w:right="283"/>
              <w:jc w:val="right"/>
              <w:rPr>
                <w:rFonts w:asciiTheme="minorHAnsi" w:hAnsiTheme="minorHAnsi" w:cstheme="minorHAnsi"/>
                <w:sz w:val="22"/>
                <w:szCs w:val="22"/>
                <w:lang w:val="de-DE"/>
              </w:rPr>
            </w:pPr>
          </w:p>
          <w:p w14:paraId="44C819D7" w14:textId="77777777" w:rsidR="009517EE" w:rsidRPr="009517EE" w:rsidRDefault="009517EE" w:rsidP="00917ECC">
            <w:pPr>
              <w:suppressLineNumbers/>
              <w:shd w:val="clear" w:color="auto" w:fill="FFFFFF"/>
              <w:ind w:right="283"/>
              <w:jc w:val="center"/>
              <w:rPr>
                <w:lang w:val="de-DE"/>
              </w:rPr>
            </w:pPr>
            <w:r w:rsidRPr="009517EE">
              <w:rPr>
                <w:lang w:val="de-DE"/>
              </w:rPr>
              <w:t>Mt stock initial</w:t>
            </w:r>
          </w:p>
          <w:p w14:paraId="4B9415A3" w14:textId="582A9701" w:rsidR="009517EE" w:rsidRPr="009517EE" w:rsidRDefault="009517EE" w:rsidP="00917ECC">
            <w:pPr>
              <w:suppressLineNumbers/>
              <w:shd w:val="clear" w:color="auto" w:fill="FFFFFF"/>
              <w:ind w:right="283"/>
              <w:jc w:val="center"/>
              <w:rPr>
                <w:lang w:val="de-DE"/>
              </w:rPr>
            </w:pPr>
            <w:r w:rsidRPr="009517EE">
              <w:rPr>
                <w:lang w:val="de-DE"/>
              </w:rPr>
              <w:t xml:space="preserve">Mt </w:t>
            </w:r>
            <w:r w:rsidR="0056408A">
              <w:rPr>
                <w:lang w:val="de-DE"/>
              </w:rPr>
              <w:t>s</w:t>
            </w:r>
            <w:r w:rsidRPr="009517EE">
              <w:rPr>
                <w:lang w:val="de-DE"/>
              </w:rPr>
              <w:t>tock initial</w:t>
            </w:r>
          </w:p>
          <w:p w14:paraId="0B0EE177" w14:textId="3F975D6C" w:rsidR="009517EE" w:rsidRPr="009517EE" w:rsidRDefault="009517EE" w:rsidP="00917ECC">
            <w:pPr>
              <w:suppressLineNumbers/>
              <w:shd w:val="clear" w:color="auto" w:fill="FFFFFF"/>
              <w:ind w:right="283"/>
              <w:jc w:val="center"/>
            </w:pPr>
            <w:r w:rsidRPr="009517EE">
              <w:t xml:space="preserve">Mt </w:t>
            </w:r>
            <w:r w:rsidR="0056408A">
              <w:t>s</w:t>
            </w:r>
            <w:bookmarkStart w:id="0" w:name="_GoBack"/>
            <w:bookmarkEnd w:id="0"/>
            <w:r w:rsidRPr="009517EE">
              <w:t>tock initial</w:t>
            </w:r>
          </w:p>
        </w:tc>
      </w:tr>
      <w:tr w:rsidR="009517EE" w14:paraId="71366F60" w14:textId="77777777" w:rsidTr="00917ECC">
        <w:tc>
          <w:tcPr>
            <w:tcW w:w="687" w:type="dxa"/>
            <w:tcBorders>
              <w:top w:val="nil"/>
              <w:left w:val="single" w:sz="2" w:space="0" w:color="000000"/>
              <w:bottom w:val="single" w:sz="2" w:space="0" w:color="000000"/>
              <w:right w:val="nil"/>
            </w:tcBorders>
          </w:tcPr>
          <w:p w14:paraId="0618AF7E" w14:textId="77777777" w:rsidR="009517EE" w:rsidRPr="00FE7CD1" w:rsidRDefault="009517EE" w:rsidP="00917ECC">
            <w:pPr>
              <w:pStyle w:val="Contenudetableau"/>
              <w:snapToGrid w:val="0"/>
            </w:pPr>
          </w:p>
          <w:p w14:paraId="7C112207" w14:textId="77777777" w:rsidR="009517EE" w:rsidRDefault="009517EE" w:rsidP="00917ECC">
            <w:pPr>
              <w:pStyle w:val="Contenudetableau"/>
              <w:rPr>
                <w:sz w:val="22"/>
                <w:szCs w:val="22"/>
              </w:rPr>
            </w:pPr>
            <w:r w:rsidRPr="00FE7CD1">
              <w:rPr>
                <w:sz w:val="22"/>
                <w:szCs w:val="22"/>
              </w:rPr>
              <w:t>310</w:t>
            </w:r>
          </w:p>
          <w:p w14:paraId="38535BA8" w14:textId="77777777" w:rsidR="009517EE" w:rsidRPr="00FE7CD1" w:rsidRDefault="009517EE" w:rsidP="00917ECC">
            <w:pPr>
              <w:pStyle w:val="Contenudetableau"/>
            </w:pPr>
            <w:r w:rsidRPr="00FE7CD1">
              <w:rPr>
                <w:sz w:val="22"/>
                <w:szCs w:val="22"/>
              </w:rPr>
              <w:t>370</w:t>
            </w:r>
          </w:p>
          <w:p w14:paraId="70F01245" w14:textId="77777777" w:rsidR="009517EE" w:rsidRPr="00FE7CD1" w:rsidRDefault="009517EE" w:rsidP="00917ECC">
            <w:pPr>
              <w:pStyle w:val="Contenudetableau"/>
            </w:pPr>
            <w:r w:rsidRPr="00FE7CD1">
              <w:rPr>
                <w:sz w:val="22"/>
                <w:szCs w:val="22"/>
              </w:rPr>
              <w:t>355</w:t>
            </w:r>
          </w:p>
        </w:tc>
        <w:tc>
          <w:tcPr>
            <w:tcW w:w="644" w:type="dxa"/>
            <w:tcBorders>
              <w:top w:val="nil"/>
              <w:left w:val="single" w:sz="2" w:space="0" w:color="000000"/>
              <w:bottom w:val="single" w:sz="2" w:space="0" w:color="000000"/>
              <w:right w:val="nil"/>
            </w:tcBorders>
          </w:tcPr>
          <w:p w14:paraId="44F9E3E4" w14:textId="77777777" w:rsidR="009517EE" w:rsidRPr="00FE7CD1" w:rsidRDefault="009517EE" w:rsidP="00917ECC">
            <w:pPr>
              <w:pStyle w:val="Contenudetableau"/>
              <w:snapToGrid w:val="0"/>
              <w:rPr>
                <w:sz w:val="22"/>
                <w:szCs w:val="22"/>
              </w:rPr>
            </w:pPr>
          </w:p>
          <w:p w14:paraId="41A8815D" w14:textId="77777777" w:rsidR="009517EE" w:rsidRPr="00FE7CD1" w:rsidRDefault="009517EE" w:rsidP="00917ECC">
            <w:pPr>
              <w:pStyle w:val="Contenudetableau"/>
              <w:rPr>
                <w:sz w:val="22"/>
                <w:szCs w:val="22"/>
              </w:rPr>
            </w:pPr>
          </w:p>
          <w:p w14:paraId="787796F6" w14:textId="77777777" w:rsidR="009517EE" w:rsidRPr="00FE7CD1" w:rsidRDefault="009517EE" w:rsidP="00917ECC">
            <w:pPr>
              <w:pStyle w:val="Contenudetableau"/>
            </w:pPr>
          </w:p>
          <w:p w14:paraId="1EE754D4" w14:textId="77777777" w:rsidR="009517EE" w:rsidRPr="00FE7CD1" w:rsidRDefault="009517EE" w:rsidP="00917ECC">
            <w:pPr>
              <w:pStyle w:val="Contenudetableau"/>
            </w:pPr>
          </w:p>
          <w:p w14:paraId="2BAE0D6D" w14:textId="77777777" w:rsidR="009517EE" w:rsidRPr="00FE7CD1" w:rsidRDefault="009517EE" w:rsidP="00917ECC">
            <w:pPr>
              <w:pStyle w:val="Contenudetableau"/>
            </w:pPr>
            <w:r w:rsidRPr="00FE7CD1">
              <w:rPr>
                <w:sz w:val="22"/>
                <w:szCs w:val="22"/>
              </w:rPr>
              <w:t>6031</w:t>
            </w:r>
          </w:p>
          <w:p w14:paraId="4F45E238" w14:textId="77777777" w:rsidR="009517EE" w:rsidRPr="00FE7CD1" w:rsidRDefault="009517EE" w:rsidP="00917ECC">
            <w:pPr>
              <w:pStyle w:val="Contenudetableau"/>
            </w:pPr>
            <w:r w:rsidRPr="00FE7CD1">
              <w:rPr>
                <w:sz w:val="22"/>
                <w:szCs w:val="22"/>
              </w:rPr>
              <w:t>6037</w:t>
            </w:r>
          </w:p>
          <w:p w14:paraId="47044D18" w14:textId="77777777" w:rsidR="009517EE" w:rsidRPr="00FE7CD1" w:rsidRDefault="009517EE" w:rsidP="00917ECC">
            <w:pPr>
              <w:pStyle w:val="Contenudetableau"/>
            </w:pPr>
            <w:r w:rsidRPr="00FE7CD1">
              <w:rPr>
                <w:sz w:val="22"/>
                <w:szCs w:val="22"/>
              </w:rPr>
              <w:t>7135</w:t>
            </w:r>
          </w:p>
        </w:tc>
        <w:tc>
          <w:tcPr>
            <w:tcW w:w="4110" w:type="dxa"/>
            <w:tcBorders>
              <w:top w:val="nil"/>
              <w:left w:val="single" w:sz="2" w:space="0" w:color="000000"/>
              <w:bottom w:val="single" w:sz="2" w:space="0" w:color="000000"/>
              <w:right w:val="nil"/>
            </w:tcBorders>
            <w:hideMark/>
          </w:tcPr>
          <w:p w14:paraId="0B0E67E4" w14:textId="77777777" w:rsidR="009517EE" w:rsidRPr="009517EE" w:rsidRDefault="009517EE" w:rsidP="00917ECC">
            <w:pPr>
              <w:jc w:val="center"/>
            </w:pPr>
            <w:r w:rsidRPr="009517EE">
              <w:t>31/12/N</w:t>
            </w:r>
          </w:p>
          <w:p w14:paraId="42B444F5" w14:textId="7427FB66" w:rsidR="009517EE" w:rsidRPr="009517EE" w:rsidRDefault="009517EE" w:rsidP="00917ECC">
            <w:r w:rsidRPr="009517EE">
              <w:t>Stock de mat</w:t>
            </w:r>
            <w:r w:rsidR="0056408A">
              <w:t>ières</w:t>
            </w:r>
            <w:r w:rsidRPr="009517EE">
              <w:t xml:space="preserve"> 1</w:t>
            </w:r>
            <w:r w:rsidRPr="009517EE">
              <w:rPr>
                <w:vertAlign w:val="superscript"/>
              </w:rPr>
              <w:t>res</w:t>
            </w:r>
          </w:p>
          <w:p w14:paraId="18C64E83" w14:textId="77777777" w:rsidR="009517EE" w:rsidRPr="009517EE" w:rsidRDefault="009517EE" w:rsidP="00917ECC">
            <w:r w:rsidRPr="009517EE">
              <w:t>Stock de marchandises</w:t>
            </w:r>
          </w:p>
          <w:p w14:paraId="0ABEB376" w14:textId="77777777" w:rsidR="009517EE" w:rsidRPr="009517EE" w:rsidRDefault="009517EE" w:rsidP="00917ECC">
            <w:r w:rsidRPr="009517EE">
              <w:t>Stock de produits finis</w:t>
            </w:r>
          </w:p>
          <w:p w14:paraId="50F76E5D" w14:textId="0474C8EA" w:rsidR="009517EE" w:rsidRPr="009517EE" w:rsidRDefault="009517EE" w:rsidP="00917ECC">
            <w:pPr>
              <w:pStyle w:val="Contenudetableau"/>
              <w:rPr>
                <w:rFonts w:asciiTheme="minorHAnsi" w:hAnsiTheme="minorHAnsi" w:cstheme="minorHAnsi"/>
              </w:rPr>
            </w:pPr>
            <w:r w:rsidRPr="009517EE">
              <w:rPr>
                <w:rFonts w:asciiTheme="minorHAnsi" w:hAnsiTheme="minorHAnsi" w:cstheme="minorHAnsi"/>
                <w:sz w:val="22"/>
                <w:szCs w:val="22"/>
              </w:rPr>
              <w:t>Var</w:t>
            </w:r>
            <w:r w:rsidRPr="009517EE">
              <w:rPr>
                <w:rFonts w:asciiTheme="minorHAnsi" w:hAnsiTheme="minorHAnsi" w:cstheme="minorHAnsi"/>
                <w:sz w:val="22"/>
                <w:szCs w:val="22"/>
              </w:rPr>
              <w:t>iation</w:t>
            </w:r>
            <w:r w:rsidRPr="009517EE">
              <w:rPr>
                <w:rFonts w:asciiTheme="minorHAnsi" w:hAnsiTheme="minorHAnsi" w:cstheme="minorHAnsi"/>
                <w:sz w:val="22"/>
                <w:szCs w:val="22"/>
              </w:rPr>
              <w:t xml:space="preserve"> de stock de mat</w:t>
            </w:r>
            <w:r w:rsidR="0056408A">
              <w:rPr>
                <w:rFonts w:asciiTheme="minorHAnsi" w:hAnsiTheme="minorHAnsi" w:cstheme="minorHAnsi"/>
                <w:sz w:val="22"/>
                <w:szCs w:val="22"/>
              </w:rPr>
              <w:t>ières</w:t>
            </w:r>
            <w:r w:rsidRPr="009517EE">
              <w:rPr>
                <w:rFonts w:asciiTheme="minorHAnsi" w:hAnsiTheme="minorHAnsi" w:cstheme="minorHAnsi"/>
                <w:sz w:val="22"/>
                <w:szCs w:val="22"/>
              </w:rPr>
              <w:t xml:space="preserve"> 1</w:t>
            </w:r>
            <w:r w:rsidRPr="009517EE">
              <w:rPr>
                <w:rFonts w:asciiTheme="minorHAnsi" w:hAnsiTheme="minorHAnsi" w:cstheme="minorHAnsi"/>
                <w:sz w:val="22"/>
                <w:szCs w:val="22"/>
                <w:vertAlign w:val="superscript"/>
              </w:rPr>
              <w:t>res</w:t>
            </w:r>
          </w:p>
          <w:p w14:paraId="3F51BDFA" w14:textId="09C224A3" w:rsidR="009517EE" w:rsidRPr="009517EE" w:rsidRDefault="009517EE" w:rsidP="00917ECC">
            <w:pPr>
              <w:pStyle w:val="Contenudetableau"/>
              <w:rPr>
                <w:rFonts w:asciiTheme="minorHAnsi" w:hAnsiTheme="minorHAnsi" w:cstheme="minorHAnsi"/>
              </w:rPr>
            </w:pPr>
            <w:r w:rsidRPr="009517EE">
              <w:rPr>
                <w:rFonts w:asciiTheme="minorHAnsi" w:hAnsiTheme="minorHAnsi" w:cstheme="minorHAnsi"/>
                <w:sz w:val="22"/>
                <w:szCs w:val="22"/>
              </w:rPr>
              <w:t>Variation de stock de march</w:t>
            </w:r>
            <w:r w:rsidRPr="009517EE">
              <w:rPr>
                <w:rFonts w:asciiTheme="minorHAnsi" w:hAnsiTheme="minorHAnsi" w:cstheme="minorHAnsi"/>
                <w:sz w:val="22"/>
                <w:szCs w:val="22"/>
              </w:rPr>
              <w:t>andises</w:t>
            </w:r>
          </w:p>
          <w:p w14:paraId="3DF1F1A4" w14:textId="3D09211A" w:rsidR="009517EE" w:rsidRPr="009517EE" w:rsidRDefault="009517EE" w:rsidP="00917ECC">
            <w:pPr>
              <w:pStyle w:val="Contenudetableau"/>
              <w:rPr>
                <w:rFonts w:asciiTheme="minorHAnsi" w:hAnsiTheme="minorHAnsi" w:cstheme="minorHAnsi"/>
              </w:rPr>
            </w:pPr>
            <w:r w:rsidRPr="009517EE">
              <w:rPr>
                <w:rFonts w:asciiTheme="minorHAnsi" w:hAnsiTheme="minorHAnsi" w:cstheme="minorHAnsi"/>
                <w:sz w:val="22"/>
                <w:szCs w:val="22"/>
              </w:rPr>
              <w:t>Variation de stock de prod</w:t>
            </w:r>
            <w:r w:rsidRPr="009517EE">
              <w:rPr>
                <w:rFonts w:asciiTheme="minorHAnsi" w:hAnsiTheme="minorHAnsi" w:cstheme="minorHAnsi"/>
                <w:sz w:val="22"/>
                <w:szCs w:val="22"/>
              </w:rPr>
              <w:t>uits</w:t>
            </w:r>
            <w:r w:rsidRPr="009517EE">
              <w:rPr>
                <w:rFonts w:asciiTheme="minorHAnsi" w:hAnsiTheme="minorHAnsi" w:cstheme="minorHAnsi"/>
                <w:sz w:val="22"/>
                <w:szCs w:val="22"/>
              </w:rPr>
              <w:t xml:space="preserve"> finis</w:t>
            </w:r>
          </w:p>
          <w:p w14:paraId="05D007E8" w14:textId="77777777" w:rsidR="009517EE" w:rsidRPr="009517EE" w:rsidRDefault="009517EE" w:rsidP="00917ECC">
            <w:pPr>
              <w:pStyle w:val="Contenudetableau"/>
              <w:rPr>
                <w:rFonts w:asciiTheme="minorHAnsi" w:hAnsiTheme="minorHAnsi" w:cstheme="minorHAnsi"/>
              </w:rPr>
            </w:pPr>
            <w:r w:rsidRPr="009517EE">
              <w:rPr>
                <w:rFonts w:asciiTheme="minorHAnsi" w:hAnsiTheme="minorHAnsi" w:cstheme="minorHAnsi"/>
                <w:i/>
                <w:iCs/>
                <w:sz w:val="22"/>
                <w:szCs w:val="22"/>
              </w:rPr>
              <w:t xml:space="preserve">Constatation du </w:t>
            </w:r>
            <w:r w:rsidRPr="009517EE">
              <w:rPr>
                <w:rFonts w:asciiTheme="minorHAnsi" w:hAnsiTheme="minorHAnsi" w:cstheme="minorHAnsi"/>
                <w:b/>
                <w:bCs/>
                <w:i/>
                <w:iCs/>
                <w:sz w:val="22"/>
                <w:szCs w:val="22"/>
              </w:rPr>
              <w:t>stock final</w:t>
            </w:r>
          </w:p>
        </w:tc>
        <w:tc>
          <w:tcPr>
            <w:tcW w:w="1814" w:type="dxa"/>
            <w:tcBorders>
              <w:top w:val="nil"/>
              <w:left w:val="single" w:sz="2" w:space="0" w:color="000000"/>
              <w:bottom w:val="single" w:sz="2" w:space="0" w:color="000000"/>
              <w:right w:val="nil"/>
            </w:tcBorders>
          </w:tcPr>
          <w:p w14:paraId="18CC1544" w14:textId="77777777" w:rsidR="009517EE" w:rsidRPr="009517EE" w:rsidRDefault="009517EE" w:rsidP="00917ECC">
            <w:pPr>
              <w:suppressLineNumbers/>
              <w:shd w:val="clear" w:color="auto" w:fill="FFFFFF"/>
              <w:snapToGrid w:val="0"/>
              <w:ind w:right="340"/>
              <w:jc w:val="center"/>
            </w:pPr>
          </w:p>
          <w:p w14:paraId="68589E34" w14:textId="77777777" w:rsidR="009517EE" w:rsidRPr="009517EE" w:rsidRDefault="009517EE" w:rsidP="00917ECC">
            <w:pPr>
              <w:suppressLineNumbers/>
              <w:shd w:val="clear" w:color="auto" w:fill="FFFFFF"/>
              <w:snapToGrid w:val="0"/>
              <w:ind w:right="340"/>
              <w:jc w:val="center"/>
              <w:rPr>
                <w:lang w:val="de-DE"/>
              </w:rPr>
            </w:pPr>
            <w:r w:rsidRPr="009517EE">
              <w:rPr>
                <w:lang w:val="de-DE"/>
              </w:rPr>
              <w:t>Mt stock final</w:t>
            </w:r>
          </w:p>
          <w:p w14:paraId="2ABA1C31" w14:textId="77777777" w:rsidR="009517EE" w:rsidRPr="009517EE" w:rsidRDefault="009517EE" w:rsidP="00917ECC">
            <w:pPr>
              <w:suppressLineNumbers/>
              <w:shd w:val="clear" w:color="auto" w:fill="FFFFFF"/>
              <w:snapToGrid w:val="0"/>
              <w:ind w:right="340"/>
              <w:jc w:val="center"/>
              <w:rPr>
                <w:lang w:val="de-DE"/>
              </w:rPr>
            </w:pPr>
            <w:r w:rsidRPr="009517EE">
              <w:rPr>
                <w:lang w:val="de-DE"/>
              </w:rPr>
              <w:t>Mt stock final</w:t>
            </w:r>
          </w:p>
          <w:p w14:paraId="40D83B79" w14:textId="77777777" w:rsidR="009517EE" w:rsidRPr="009517EE" w:rsidRDefault="009517EE" w:rsidP="00917ECC">
            <w:pPr>
              <w:suppressLineNumbers/>
              <w:shd w:val="clear" w:color="auto" w:fill="FFFFFF"/>
              <w:snapToGrid w:val="0"/>
              <w:ind w:right="340"/>
              <w:jc w:val="center"/>
            </w:pPr>
            <w:r w:rsidRPr="009517EE">
              <w:t>Mt stock final</w:t>
            </w:r>
          </w:p>
          <w:p w14:paraId="426E6939" w14:textId="77777777" w:rsidR="009517EE" w:rsidRPr="009517EE" w:rsidRDefault="009517EE" w:rsidP="00917ECC">
            <w:pPr>
              <w:suppressLineNumbers/>
              <w:shd w:val="clear" w:color="auto" w:fill="FFFFFF"/>
              <w:snapToGrid w:val="0"/>
              <w:ind w:right="340"/>
              <w:jc w:val="center"/>
            </w:pPr>
          </w:p>
          <w:p w14:paraId="20C78880" w14:textId="77777777" w:rsidR="009517EE" w:rsidRPr="009517EE" w:rsidRDefault="009517EE" w:rsidP="00917ECC">
            <w:pPr>
              <w:suppressLineNumbers/>
              <w:shd w:val="clear" w:color="auto" w:fill="FFFFFF"/>
              <w:ind w:right="340"/>
              <w:jc w:val="center"/>
            </w:pPr>
          </w:p>
        </w:tc>
        <w:tc>
          <w:tcPr>
            <w:tcW w:w="1837" w:type="dxa"/>
            <w:tcBorders>
              <w:top w:val="nil"/>
              <w:left w:val="single" w:sz="2" w:space="0" w:color="000000"/>
              <w:bottom w:val="single" w:sz="2" w:space="0" w:color="000000"/>
              <w:right w:val="single" w:sz="2" w:space="0" w:color="000000"/>
            </w:tcBorders>
          </w:tcPr>
          <w:p w14:paraId="21CC5358" w14:textId="77777777" w:rsidR="009517EE" w:rsidRPr="009517EE" w:rsidRDefault="009517EE" w:rsidP="00917ECC">
            <w:pPr>
              <w:pStyle w:val="Contenudetableau"/>
              <w:shd w:val="clear" w:color="auto" w:fill="FFFFFF"/>
              <w:snapToGrid w:val="0"/>
              <w:ind w:left="203" w:right="248"/>
              <w:rPr>
                <w:rFonts w:asciiTheme="minorHAnsi" w:hAnsiTheme="minorHAnsi" w:cstheme="minorHAnsi"/>
                <w:sz w:val="22"/>
                <w:szCs w:val="22"/>
                <w:lang w:val="de-DE"/>
              </w:rPr>
            </w:pPr>
          </w:p>
          <w:p w14:paraId="36A61D54" w14:textId="77777777" w:rsidR="009517EE" w:rsidRPr="009517EE" w:rsidRDefault="009517EE" w:rsidP="00917ECC">
            <w:pPr>
              <w:pStyle w:val="Contenudetableau"/>
              <w:shd w:val="clear" w:color="auto" w:fill="FFFFFF"/>
              <w:ind w:left="203" w:right="248"/>
              <w:rPr>
                <w:rFonts w:asciiTheme="minorHAnsi" w:hAnsiTheme="minorHAnsi" w:cstheme="minorHAnsi"/>
                <w:sz w:val="22"/>
                <w:szCs w:val="22"/>
                <w:lang w:val="de-DE"/>
              </w:rPr>
            </w:pPr>
          </w:p>
          <w:p w14:paraId="1DBFE880" w14:textId="77777777" w:rsidR="009517EE" w:rsidRPr="009517EE" w:rsidRDefault="009517EE" w:rsidP="00917ECC">
            <w:pPr>
              <w:pStyle w:val="Contenudetableau"/>
              <w:shd w:val="clear" w:color="auto" w:fill="FFFFFF"/>
              <w:ind w:left="203" w:right="248"/>
              <w:rPr>
                <w:rFonts w:asciiTheme="minorHAnsi" w:hAnsiTheme="minorHAnsi" w:cstheme="minorHAnsi"/>
                <w:sz w:val="22"/>
                <w:szCs w:val="22"/>
                <w:lang w:val="de-DE"/>
              </w:rPr>
            </w:pPr>
          </w:p>
          <w:p w14:paraId="664726D4" w14:textId="77777777" w:rsidR="009517EE" w:rsidRPr="009517EE" w:rsidRDefault="009517EE" w:rsidP="00917ECC">
            <w:pPr>
              <w:pStyle w:val="Contenudetableau"/>
              <w:shd w:val="clear" w:color="auto" w:fill="FFFFFF"/>
              <w:ind w:left="203" w:right="248"/>
              <w:rPr>
                <w:rFonts w:asciiTheme="minorHAnsi" w:hAnsiTheme="minorHAnsi" w:cstheme="minorHAnsi"/>
                <w:sz w:val="22"/>
                <w:szCs w:val="22"/>
                <w:lang w:val="de-DE"/>
              </w:rPr>
            </w:pPr>
          </w:p>
          <w:p w14:paraId="52A972EC" w14:textId="77777777" w:rsidR="009517EE" w:rsidRPr="009517EE" w:rsidRDefault="009517EE" w:rsidP="00917ECC">
            <w:pPr>
              <w:pStyle w:val="Contenudetableau"/>
              <w:shd w:val="clear" w:color="auto" w:fill="FFFFFF"/>
              <w:ind w:left="203" w:right="248"/>
              <w:rPr>
                <w:rFonts w:asciiTheme="minorHAnsi" w:hAnsiTheme="minorHAnsi" w:cstheme="minorHAnsi"/>
                <w:sz w:val="22"/>
                <w:szCs w:val="22"/>
                <w:lang w:val="de-DE"/>
              </w:rPr>
            </w:pPr>
            <w:r w:rsidRPr="009517EE">
              <w:rPr>
                <w:rFonts w:asciiTheme="minorHAnsi" w:hAnsiTheme="minorHAnsi" w:cstheme="minorHAnsi"/>
                <w:sz w:val="22"/>
                <w:szCs w:val="22"/>
                <w:lang w:val="de-DE"/>
              </w:rPr>
              <w:t>Mt stock final</w:t>
            </w:r>
          </w:p>
          <w:p w14:paraId="49AAB4C1" w14:textId="77777777" w:rsidR="009517EE" w:rsidRPr="009517EE" w:rsidRDefault="009517EE" w:rsidP="00917ECC">
            <w:pPr>
              <w:suppressLineNumbers/>
              <w:shd w:val="clear" w:color="auto" w:fill="FFFFFF"/>
              <w:snapToGrid w:val="0"/>
              <w:ind w:left="203" w:right="248"/>
              <w:rPr>
                <w:lang w:val="de-DE"/>
              </w:rPr>
            </w:pPr>
            <w:r w:rsidRPr="009517EE">
              <w:rPr>
                <w:lang w:val="de-DE"/>
              </w:rPr>
              <w:t>Mt stock final</w:t>
            </w:r>
          </w:p>
          <w:p w14:paraId="34E534F8" w14:textId="77777777" w:rsidR="009517EE" w:rsidRPr="009517EE" w:rsidRDefault="009517EE" w:rsidP="00917ECC">
            <w:pPr>
              <w:suppressLineNumbers/>
              <w:shd w:val="clear" w:color="auto" w:fill="FFFFFF"/>
              <w:snapToGrid w:val="0"/>
              <w:ind w:left="203" w:right="248"/>
            </w:pPr>
            <w:r w:rsidRPr="009517EE">
              <w:t>Mt stock final</w:t>
            </w:r>
          </w:p>
          <w:p w14:paraId="582DD44D" w14:textId="77777777" w:rsidR="009517EE" w:rsidRPr="009517EE" w:rsidRDefault="009517EE" w:rsidP="00917ECC">
            <w:pPr>
              <w:pStyle w:val="Contenudetableau"/>
              <w:shd w:val="clear" w:color="auto" w:fill="FFFFFF"/>
              <w:ind w:right="340"/>
              <w:jc w:val="right"/>
              <w:rPr>
                <w:rFonts w:asciiTheme="minorHAnsi" w:hAnsiTheme="minorHAnsi" w:cstheme="minorHAnsi"/>
                <w:sz w:val="22"/>
                <w:szCs w:val="22"/>
              </w:rPr>
            </w:pPr>
          </w:p>
        </w:tc>
      </w:tr>
    </w:tbl>
    <w:p w14:paraId="505BBB2C" w14:textId="77777777" w:rsidR="009517EE" w:rsidRDefault="009517EE" w:rsidP="009517EE">
      <w:pPr>
        <w:shd w:val="clear" w:color="auto" w:fill="FFFFFF"/>
        <w:rPr>
          <w:rFonts w:ascii="Times New Roman" w:eastAsia="Wingdings" w:hAnsi="Times New Roman" w:cs="Times New Roman"/>
        </w:rPr>
      </w:pPr>
    </w:p>
    <w:p w14:paraId="6A286637" w14:textId="77777777" w:rsidR="009517EE" w:rsidRPr="00FE7CD1" w:rsidRDefault="009517EE" w:rsidP="009517EE">
      <w:pPr>
        <w:shd w:val="clear" w:color="auto" w:fill="FFFFFF"/>
        <w:rPr>
          <w:rFonts w:ascii="Times New Roman" w:eastAsia="Wingdings" w:hAnsi="Times New Roman" w:cs="Times New Roman"/>
        </w:rPr>
      </w:pPr>
    </w:p>
    <w:p w14:paraId="2AE64704" w14:textId="6A43872D" w:rsidR="009517EE" w:rsidRPr="00FE7CD1" w:rsidRDefault="009517EE" w:rsidP="009517EE">
      <w:pPr>
        <w:pStyle w:val="Titre2"/>
      </w:pPr>
      <w:r w:rsidRPr="009517EE">
        <w:rPr>
          <w:rStyle w:val="Titre2Car"/>
        </w:rPr>
        <w:lastRenderedPageBreak/>
        <w:t>Impact</w:t>
      </w:r>
      <w:r w:rsidRPr="00FE7CD1">
        <w:t xml:space="preserve"> sur les documents de synthèse</w:t>
      </w:r>
    </w:p>
    <w:p w14:paraId="5F3F21AB" w14:textId="77777777" w:rsidR="009517EE" w:rsidRPr="00FE7CD1" w:rsidRDefault="009517EE" w:rsidP="0056408A">
      <w:r w:rsidRPr="00FE7CD1">
        <w:t>Ces écritures vont permettre de trouver :</w:t>
      </w:r>
    </w:p>
    <w:p w14:paraId="13FB8653" w14:textId="35B11EA3" w:rsidR="009517EE" w:rsidRPr="00FE7CD1" w:rsidRDefault="009517EE" w:rsidP="0056408A">
      <w:r w:rsidRPr="00FE7CD1">
        <w:t xml:space="preserve">- dans le </w:t>
      </w:r>
      <w:r w:rsidRPr="0056408A">
        <w:rPr>
          <w:b/>
          <w:bCs/>
        </w:rPr>
        <w:t>bilan</w:t>
      </w:r>
      <w:r>
        <w:t xml:space="preserve">, à l’actif, </w:t>
      </w:r>
      <w:r w:rsidRPr="00FE7CD1">
        <w:t>la valeur des stocks finaux</w:t>
      </w:r>
      <w:r w:rsidR="0056408A">
        <w:t> ;</w:t>
      </w:r>
    </w:p>
    <w:p w14:paraId="335CD287" w14:textId="03600CAD" w:rsidR="009517EE" w:rsidRPr="00FE7CD1" w:rsidRDefault="009517EE" w:rsidP="0056408A">
      <w:r w:rsidRPr="00FE7CD1">
        <w:t xml:space="preserve">- dans le </w:t>
      </w:r>
      <w:r w:rsidRPr="0056408A">
        <w:rPr>
          <w:b/>
          <w:bCs/>
        </w:rPr>
        <w:t>compte de résultat</w:t>
      </w:r>
      <w:r w:rsidR="0056408A">
        <w:t> :</w:t>
      </w:r>
    </w:p>
    <w:p w14:paraId="0B055D9D" w14:textId="77777777" w:rsidR="009517EE" w:rsidRPr="00FE7CD1" w:rsidRDefault="009517EE" w:rsidP="0056408A">
      <w:r w:rsidRPr="00FE7CD1">
        <w:tab/>
      </w:r>
      <w:r>
        <w:t xml:space="preserve">- </w:t>
      </w:r>
      <w:r w:rsidRPr="00FE7CD1">
        <w:t>au niveau des charges d</w:t>
      </w:r>
      <w:r>
        <w:t>’</w:t>
      </w:r>
      <w:r w:rsidRPr="00FE7CD1">
        <w:t>exploitation : le coût d</w:t>
      </w:r>
      <w:r>
        <w:t>’</w:t>
      </w:r>
      <w:r w:rsidRPr="00FE7CD1">
        <w:t>achat des marchandises vendues (achats +- variation de stocks) et la consommation de matières premières et autres approvisionnements. Ainsi, les soldes des comptes de variations de stocks de marchandises et de matières premières et autres approvisionnements vont diminuer les montants des achats en cas de stockage (solde créditeur). La partie stockée n</w:t>
      </w:r>
      <w:r>
        <w:t>’</w:t>
      </w:r>
      <w:r w:rsidRPr="00FE7CD1">
        <w:t>a pas été consommée ou vendue pendant l</w:t>
      </w:r>
      <w:r>
        <w:t>’</w:t>
      </w:r>
      <w:r w:rsidRPr="00FE7CD1">
        <w:t>exercice, elle va l</w:t>
      </w:r>
      <w:r>
        <w:t>’</w:t>
      </w:r>
      <w:r w:rsidRPr="00FE7CD1">
        <w:t>être pendant l</w:t>
      </w:r>
      <w:r>
        <w:t>’</w:t>
      </w:r>
      <w:r w:rsidRPr="00FE7CD1">
        <w:t>exercice suivant. Elle doit faire partie des charges de l</w:t>
      </w:r>
      <w:r>
        <w:t>’</w:t>
      </w:r>
      <w:r w:rsidRPr="00FE7CD1">
        <w:t>exercice suivant (d</w:t>
      </w:r>
      <w:r>
        <w:t>’</w:t>
      </w:r>
      <w:r w:rsidRPr="00FE7CD1">
        <w:t>après le principe d</w:t>
      </w:r>
      <w:r>
        <w:t>’</w:t>
      </w:r>
      <w:r w:rsidRPr="00FE7CD1">
        <w:t>indépendance des exercices), et doit donc être soustraite des charges de l</w:t>
      </w:r>
      <w:r>
        <w:t>’</w:t>
      </w:r>
      <w:r w:rsidRPr="00FE7CD1">
        <w:t>exercice présent. En cas de déstockage ce sera l</w:t>
      </w:r>
      <w:r>
        <w:t>’</w:t>
      </w:r>
      <w:r w:rsidRPr="00FE7CD1">
        <w:t>inverse.</w:t>
      </w:r>
    </w:p>
    <w:p w14:paraId="67E4F7F8" w14:textId="77777777" w:rsidR="009517EE" w:rsidRPr="00FE7CD1" w:rsidRDefault="009517EE" w:rsidP="0056408A">
      <w:r w:rsidRPr="00FE7CD1">
        <w:tab/>
        <w:t xml:space="preserve"> </w:t>
      </w:r>
      <w:r>
        <w:t>- a</w:t>
      </w:r>
      <w:r w:rsidRPr="00FE7CD1">
        <w:t>u niveau des produits d</w:t>
      </w:r>
      <w:r>
        <w:t>’</w:t>
      </w:r>
      <w:r w:rsidRPr="00FE7CD1">
        <w:t>exploitation : la production de l</w:t>
      </w:r>
      <w:r>
        <w:t>’</w:t>
      </w:r>
      <w:r w:rsidRPr="00FE7CD1">
        <w:t>exercice (Production vendue +- production stockée). Ainsi, la variation de stock est négative en cas de déstockage. La production a été insuffisante pour satisfaire la demande, il a fallu puiser dans les stocks. La production vendue a donc été supérieure à la production de l</w:t>
      </w:r>
      <w:r>
        <w:t>’</w:t>
      </w:r>
      <w:r w:rsidRPr="00FE7CD1">
        <w:t>exercice, il faut soustraire la variation de stock pour obtenir la production de l</w:t>
      </w:r>
      <w:r>
        <w:t>’</w:t>
      </w:r>
      <w:r w:rsidRPr="00FE7CD1">
        <w:t>exercice. Et inversement.</w:t>
      </w:r>
    </w:p>
    <w:p w14:paraId="787D3F1B" w14:textId="256CAB84" w:rsidR="00F35C1F" w:rsidRPr="00C04123" w:rsidRDefault="00F35C1F" w:rsidP="009517EE">
      <w:pPr>
        <w:rPr>
          <w:rFonts w:cstheme="minorBidi"/>
          <w:i/>
          <w:iCs/>
        </w:rPr>
      </w:pPr>
    </w:p>
    <w:sectPr w:rsidR="00F35C1F" w:rsidRPr="00C041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2FA6" w14:textId="77777777" w:rsidR="00C73FC0" w:rsidRDefault="00C73FC0" w:rsidP="00A715E6">
      <w:r>
        <w:separator/>
      </w:r>
    </w:p>
  </w:endnote>
  <w:endnote w:type="continuationSeparator" w:id="0">
    <w:p w14:paraId="1D811440" w14:textId="77777777" w:rsidR="00C73FC0" w:rsidRDefault="00C73FC0"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7E43" w14:textId="77777777" w:rsidR="00C73FC0" w:rsidRDefault="00C73FC0" w:rsidP="00A715E6">
      <w:r>
        <w:separator/>
      </w:r>
    </w:p>
  </w:footnote>
  <w:footnote w:type="continuationSeparator" w:id="0">
    <w:p w14:paraId="6FC57BB1" w14:textId="77777777" w:rsidR="00C73FC0" w:rsidRDefault="00C73FC0"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634"/>
    <w:multiLevelType w:val="hybridMultilevel"/>
    <w:tmpl w:val="6770C73A"/>
    <w:lvl w:ilvl="0" w:tplc="2EEEE91C">
      <w:start w:val="1"/>
      <w:numFmt w:val="bullet"/>
      <w:lvlText w:val="-"/>
      <w:lvlJc w:val="left"/>
      <w:pPr>
        <w:ind w:left="720" w:hanging="360"/>
      </w:pPr>
      <w:rPr>
        <w:rFonts w:ascii="Times New Roman" w:eastAsia="Wingdi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B25A9"/>
    <w:multiLevelType w:val="hybridMultilevel"/>
    <w:tmpl w:val="ED928CE6"/>
    <w:lvl w:ilvl="0" w:tplc="610EAB3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1644D7"/>
    <w:multiLevelType w:val="hybridMultilevel"/>
    <w:tmpl w:val="8B384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2"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3632D8"/>
    <w:multiLevelType w:val="hybridMultilevel"/>
    <w:tmpl w:val="9AA0721E"/>
    <w:lvl w:ilvl="0" w:tplc="0476961E">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8"/>
  </w:num>
  <w:num w:numId="5">
    <w:abstractNumId w:val="2"/>
  </w:num>
  <w:num w:numId="6">
    <w:abstractNumId w:val="11"/>
  </w:num>
  <w:num w:numId="7">
    <w:abstractNumId w:val="15"/>
  </w:num>
  <w:num w:numId="8">
    <w:abstractNumId w:val="7"/>
  </w:num>
  <w:num w:numId="9">
    <w:abstractNumId w:val="5"/>
  </w:num>
  <w:num w:numId="10">
    <w:abstractNumId w:val="3"/>
  </w:num>
  <w:num w:numId="11">
    <w:abstractNumId w:val="14"/>
  </w:num>
  <w:num w:numId="12">
    <w:abstractNumId w:val="6"/>
  </w:num>
  <w:num w:numId="13">
    <w:abstractNumId w:val="12"/>
  </w:num>
  <w:num w:numId="14">
    <w:abstractNumId w:val="9"/>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36335"/>
    <w:rsid w:val="001573AC"/>
    <w:rsid w:val="001B5DE2"/>
    <w:rsid w:val="00206267"/>
    <w:rsid w:val="003521D7"/>
    <w:rsid w:val="003A6F4D"/>
    <w:rsid w:val="003B7549"/>
    <w:rsid w:val="00471A56"/>
    <w:rsid w:val="00525C0E"/>
    <w:rsid w:val="00553262"/>
    <w:rsid w:val="0056408A"/>
    <w:rsid w:val="00681F78"/>
    <w:rsid w:val="006A20A6"/>
    <w:rsid w:val="006C3752"/>
    <w:rsid w:val="006F664C"/>
    <w:rsid w:val="008D3203"/>
    <w:rsid w:val="009517EE"/>
    <w:rsid w:val="00986690"/>
    <w:rsid w:val="009A5D11"/>
    <w:rsid w:val="00A715E6"/>
    <w:rsid w:val="00B94FF6"/>
    <w:rsid w:val="00BF7364"/>
    <w:rsid w:val="00C04123"/>
    <w:rsid w:val="00C511AB"/>
    <w:rsid w:val="00C73FC0"/>
    <w:rsid w:val="00CA5B74"/>
    <w:rsid w:val="00CB2DB8"/>
    <w:rsid w:val="00CB7E6C"/>
    <w:rsid w:val="00E213FA"/>
    <w:rsid w:val="00E31277"/>
    <w:rsid w:val="00E72EB7"/>
    <w:rsid w:val="00F10F58"/>
    <w:rsid w:val="00F35C1F"/>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3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3</cp:revision>
  <dcterms:created xsi:type="dcterms:W3CDTF">2020-03-27T14:36:00Z</dcterms:created>
  <dcterms:modified xsi:type="dcterms:W3CDTF">2020-03-27T15:25:00Z</dcterms:modified>
</cp:coreProperties>
</file>