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84F6" w14:textId="77777777" w:rsidR="00452C72" w:rsidRPr="00DD5869" w:rsidRDefault="00452C72" w:rsidP="00CC486A">
      <w:pPr>
        <w:pStyle w:val="00Chaptitre"/>
        <w:spacing w:after="480"/>
        <w:ind w:left="1418" w:hanging="1418"/>
      </w:pPr>
      <w:r>
        <w:rPr>
          <w:rStyle w:val="01Chapnum"/>
        </w:rPr>
        <w:t>6</w:t>
      </w:r>
      <w:r>
        <w:tab/>
      </w:r>
      <w:bookmarkStart w:id="0" w:name="_Hlk3382278"/>
      <w:r w:rsidRPr="00B7643E">
        <w:t>L</w:t>
      </w:r>
      <w:r w:rsidR="0081465D" w:rsidRPr="00B7643E">
        <w:t>'influence</w:t>
      </w:r>
      <w:r w:rsidR="0081465D">
        <w:t xml:space="preserve"> </w:t>
      </w:r>
      <w:r w:rsidRPr="006278B5">
        <w:t>de l’environnement</w:t>
      </w:r>
      <w:bookmarkEnd w:id="0"/>
      <w:r w:rsidR="0081465D">
        <w:t xml:space="preserve"> sur le management des organisations</w:t>
      </w:r>
    </w:p>
    <w:p w14:paraId="1BF25BE7" w14:textId="4A929774" w:rsidR="00452C72" w:rsidRPr="00CC486A" w:rsidRDefault="00CC486A" w:rsidP="00CC486A">
      <w:pPr>
        <w:pStyle w:val="01CorrigSynthse"/>
        <w:rPr>
          <w:b w:val="0"/>
          <w:bCs/>
          <w:sz w:val="38"/>
          <w:szCs w:val="38"/>
        </w:rPr>
      </w:pPr>
      <w:r w:rsidRPr="00CC486A">
        <w:rPr>
          <w:b w:val="0"/>
          <w:bCs/>
          <w:caps w:val="0"/>
          <w:sz w:val="38"/>
          <w:szCs w:val="38"/>
        </w:rPr>
        <w:t>Synthèse professeur enrichie</w:t>
      </w:r>
    </w:p>
    <w:p w14:paraId="3BBC6EA1" w14:textId="77777777" w:rsidR="00452C72" w:rsidRDefault="00F376BF" w:rsidP="00F376BF">
      <w:pPr>
        <w:pStyle w:val="04Exercicestitre"/>
      </w:pPr>
      <w:r>
        <w:t xml:space="preserve">1. </w:t>
      </w:r>
      <w:r w:rsidR="00452C72" w:rsidRPr="00041C6C">
        <w:t>Quels sont les facteurs internes qu</w:t>
      </w:r>
      <w:r w:rsidR="00452C72">
        <w:t xml:space="preserve">i </w:t>
      </w:r>
      <w:r w:rsidR="00452C72" w:rsidRPr="00041C6C">
        <w:t>influencent le management</w:t>
      </w:r>
      <w:r>
        <w:t> </w:t>
      </w:r>
      <w:r w:rsidR="00452C72" w:rsidRPr="00041C6C">
        <w:t>?</w:t>
      </w:r>
    </w:p>
    <w:p w14:paraId="46ECFBCB" w14:textId="77777777" w:rsidR="00452C72" w:rsidRDefault="00452C72" w:rsidP="00452C72">
      <w:pPr>
        <w:pStyle w:val="07Textecourant"/>
        <w:rPr>
          <w:sz w:val="22"/>
          <w:szCs w:val="22"/>
        </w:rPr>
      </w:pPr>
      <w:r>
        <w:rPr>
          <w:sz w:val="22"/>
          <w:szCs w:val="22"/>
        </w:rPr>
        <w:t>Les pratiques de management sont influencées par plusieurs acteurs et facteurs internes à l'organisation.</w:t>
      </w:r>
    </w:p>
    <w:p w14:paraId="4E0C8C19" w14:textId="77777777" w:rsidR="00452C72" w:rsidRPr="0001032D" w:rsidRDefault="00452C72" w:rsidP="00F376BF">
      <w:pPr>
        <w:pStyle w:val="TEnumpuce"/>
        <w:rPr>
          <w:b/>
        </w:rPr>
      </w:pPr>
      <w:r w:rsidRPr="0001032D">
        <w:rPr>
          <w:b/>
        </w:rPr>
        <w:t>Les parties prenantes internes</w:t>
      </w:r>
    </w:p>
    <w:p w14:paraId="52677C43" w14:textId="77777777" w:rsidR="00452C72" w:rsidRDefault="00452C72" w:rsidP="00F376BF">
      <w:pPr>
        <w:pStyle w:val="TTextecourant"/>
      </w:pPr>
      <w:r w:rsidRPr="00C840D8">
        <w:t>Les parties prenantes internes regroupent l’ensemble des membres d’une</w:t>
      </w:r>
      <w:r>
        <w:t xml:space="preserve"> </w:t>
      </w:r>
      <w:r w:rsidRPr="00C840D8">
        <w:t>organisation qui impactent ou sont impactés par ses activités. Une organisation est un système complexe c</w:t>
      </w:r>
      <w:r>
        <w:t>ar ses</w:t>
      </w:r>
      <w:r w:rsidRPr="00C840D8">
        <w:t xml:space="preserve"> parties</w:t>
      </w:r>
      <w:r>
        <w:t xml:space="preserve"> </w:t>
      </w:r>
      <w:r w:rsidRPr="00C840D8">
        <w:t>prenantes internes</w:t>
      </w:r>
      <w:r>
        <w:t xml:space="preserve"> peuvent avoir des intérêts différents, parfois opposés</w:t>
      </w:r>
      <w:r w:rsidRPr="00C840D8">
        <w:t>.</w:t>
      </w:r>
      <w:r>
        <w:t xml:space="preserve"> </w:t>
      </w:r>
      <w:r w:rsidRPr="00C840D8">
        <w:t xml:space="preserve">Le management </w:t>
      </w:r>
      <w:r>
        <w:t>doit tenir compte</w:t>
      </w:r>
      <w:r w:rsidRPr="00C840D8">
        <w:t xml:space="preserve"> des intérêts </w:t>
      </w:r>
      <w:r>
        <w:t xml:space="preserve">individuels </w:t>
      </w:r>
      <w:r w:rsidRPr="00C840D8">
        <w:t>des parties prenantes</w:t>
      </w:r>
      <w:r>
        <w:t xml:space="preserve"> </w:t>
      </w:r>
      <w:r w:rsidRPr="00C840D8">
        <w:t>internes</w:t>
      </w:r>
      <w:r>
        <w:t xml:space="preserve"> tout en poursuivant l'intérêt collectif de l'organisation</w:t>
      </w:r>
      <w:r w:rsidRPr="00C840D8">
        <w:t>.</w:t>
      </w:r>
    </w:p>
    <w:p w14:paraId="671706BB" w14:textId="77777777" w:rsidR="00452C72" w:rsidRDefault="00452C72" w:rsidP="00F376BF">
      <w:pPr>
        <w:pStyle w:val="TTextecourant"/>
      </w:pPr>
      <w:r>
        <w:t xml:space="preserve">Les parties prenantes internes </w:t>
      </w:r>
      <w:r w:rsidR="005A654B">
        <w:t xml:space="preserve">sont différentes selon le </w:t>
      </w:r>
      <w:r>
        <w:t>type d'organisation</w:t>
      </w:r>
      <w:r w:rsidR="00F376BF">
        <w:t> </w:t>
      </w:r>
      <w:r>
        <w:t>:</w:t>
      </w:r>
    </w:p>
    <w:p w14:paraId="796A1F74" w14:textId="77777777" w:rsidR="00452C72" w:rsidRPr="00BF2A19" w:rsidRDefault="00452C72" w:rsidP="00BF2A19">
      <w:pPr>
        <w:pStyle w:val="07Textecourant"/>
        <w:spacing w:line="240" w:lineRule="auto"/>
        <w:rPr>
          <w:sz w:val="12"/>
          <w:szCs w:val="12"/>
        </w:rPr>
      </w:pPr>
    </w:p>
    <w:tbl>
      <w:tblPr>
        <w:tblStyle w:val="Grilledutableau"/>
        <w:tblW w:w="0" w:type="auto"/>
        <w:tblLook w:val="04A0" w:firstRow="1" w:lastRow="0" w:firstColumn="1" w:lastColumn="0" w:noHBand="0" w:noVBand="1"/>
      </w:tblPr>
      <w:tblGrid>
        <w:gridCol w:w="3006"/>
        <w:gridCol w:w="3019"/>
        <w:gridCol w:w="3038"/>
      </w:tblGrid>
      <w:tr w:rsidR="00452C72" w:rsidRPr="00A63EBB" w14:paraId="100A7616" w14:textId="77777777" w:rsidTr="00BF2A19">
        <w:trPr>
          <w:trHeight w:val="624"/>
        </w:trPr>
        <w:tc>
          <w:tcPr>
            <w:tcW w:w="3398" w:type="dxa"/>
            <w:shd w:val="clear" w:color="auto" w:fill="EEECE1" w:themeFill="background2"/>
            <w:vAlign w:val="center"/>
          </w:tcPr>
          <w:p w14:paraId="77459814" w14:textId="77777777" w:rsidR="00452C72" w:rsidRPr="00A63EBB" w:rsidRDefault="00452C72" w:rsidP="00BF2A19">
            <w:pPr>
              <w:pStyle w:val="Tableautetiere"/>
              <w:jc w:val="center"/>
              <w:rPr>
                <w:sz w:val="20"/>
                <w:szCs w:val="20"/>
              </w:rPr>
            </w:pPr>
            <w:r w:rsidRPr="00A63EBB">
              <w:rPr>
                <w:sz w:val="20"/>
                <w:szCs w:val="20"/>
              </w:rPr>
              <w:t>Les parties prenantes internes d'une entreprise</w:t>
            </w:r>
          </w:p>
        </w:tc>
        <w:tc>
          <w:tcPr>
            <w:tcW w:w="3399" w:type="dxa"/>
            <w:shd w:val="clear" w:color="auto" w:fill="EEECE1" w:themeFill="background2"/>
            <w:vAlign w:val="center"/>
          </w:tcPr>
          <w:p w14:paraId="43E829AE" w14:textId="77777777" w:rsidR="00452C72" w:rsidRPr="00A63EBB" w:rsidRDefault="00452C72" w:rsidP="00BF2A19">
            <w:pPr>
              <w:pStyle w:val="Tableautetiere"/>
              <w:jc w:val="center"/>
              <w:rPr>
                <w:sz w:val="20"/>
                <w:szCs w:val="20"/>
              </w:rPr>
            </w:pPr>
            <w:r w:rsidRPr="00A63EBB">
              <w:rPr>
                <w:sz w:val="20"/>
                <w:szCs w:val="20"/>
              </w:rPr>
              <w:t>Les parties prenantes internes d’une association</w:t>
            </w:r>
          </w:p>
        </w:tc>
        <w:tc>
          <w:tcPr>
            <w:tcW w:w="3399" w:type="dxa"/>
            <w:shd w:val="clear" w:color="auto" w:fill="EEECE1" w:themeFill="background2"/>
            <w:vAlign w:val="center"/>
          </w:tcPr>
          <w:p w14:paraId="3C93E023" w14:textId="77777777" w:rsidR="00452C72" w:rsidRPr="00A63EBB" w:rsidRDefault="00452C72" w:rsidP="00BF2A19">
            <w:pPr>
              <w:pStyle w:val="Tableautetiere"/>
              <w:jc w:val="center"/>
              <w:rPr>
                <w:sz w:val="20"/>
                <w:szCs w:val="20"/>
              </w:rPr>
            </w:pPr>
            <w:r w:rsidRPr="00A63EBB">
              <w:rPr>
                <w:sz w:val="20"/>
                <w:szCs w:val="20"/>
              </w:rPr>
              <w:t>Les parties prenantes internes d’une organisation publique</w:t>
            </w:r>
          </w:p>
        </w:tc>
      </w:tr>
      <w:tr w:rsidR="00452C72" w:rsidRPr="00A63EBB" w14:paraId="4F3A8717" w14:textId="77777777" w:rsidTr="00BF2A19">
        <w:trPr>
          <w:trHeight w:val="1032"/>
        </w:trPr>
        <w:tc>
          <w:tcPr>
            <w:tcW w:w="3398" w:type="dxa"/>
          </w:tcPr>
          <w:p w14:paraId="7C60D586" w14:textId="77777777" w:rsidR="00452C72" w:rsidRPr="00A63EBB" w:rsidRDefault="00452C72" w:rsidP="00F376BF">
            <w:pPr>
              <w:pStyle w:val="Tableaucourant"/>
              <w:rPr>
                <w:sz w:val="20"/>
                <w:szCs w:val="20"/>
              </w:rPr>
            </w:pPr>
            <w:r w:rsidRPr="00A63EBB">
              <w:rPr>
                <w:sz w:val="20"/>
                <w:szCs w:val="20"/>
              </w:rPr>
              <w:t>- Les dirigeants</w:t>
            </w:r>
          </w:p>
          <w:p w14:paraId="29EC63FA" w14:textId="77777777" w:rsidR="00452C72" w:rsidRPr="00A63EBB" w:rsidRDefault="00452C72" w:rsidP="00F376BF">
            <w:pPr>
              <w:pStyle w:val="Tableaucourant"/>
              <w:rPr>
                <w:sz w:val="20"/>
                <w:szCs w:val="20"/>
              </w:rPr>
            </w:pPr>
            <w:r w:rsidRPr="00A63EBB">
              <w:rPr>
                <w:sz w:val="20"/>
                <w:szCs w:val="20"/>
              </w:rPr>
              <w:t>- Les salariés</w:t>
            </w:r>
          </w:p>
          <w:p w14:paraId="6CC42FAE" w14:textId="77777777" w:rsidR="00452C72" w:rsidRPr="00A63EBB" w:rsidRDefault="00452C72" w:rsidP="00F376BF">
            <w:pPr>
              <w:pStyle w:val="Tableaucourant"/>
              <w:rPr>
                <w:sz w:val="20"/>
                <w:szCs w:val="20"/>
              </w:rPr>
            </w:pPr>
            <w:r w:rsidRPr="00A63EBB">
              <w:rPr>
                <w:sz w:val="20"/>
                <w:szCs w:val="20"/>
              </w:rPr>
              <w:t>- Les syndicats</w:t>
            </w:r>
          </w:p>
          <w:p w14:paraId="10EB38B5" w14:textId="787AB0D9" w:rsidR="00452C72" w:rsidRPr="00A63EBB" w:rsidRDefault="00452C72" w:rsidP="00F376BF">
            <w:pPr>
              <w:pStyle w:val="Tableaucourant"/>
              <w:rPr>
                <w:sz w:val="20"/>
                <w:szCs w:val="20"/>
              </w:rPr>
            </w:pPr>
            <w:r w:rsidRPr="00A63EBB">
              <w:rPr>
                <w:sz w:val="20"/>
                <w:szCs w:val="20"/>
              </w:rPr>
              <w:t>- Les actionnaires</w:t>
            </w:r>
          </w:p>
        </w:tc>
        <w:tc>
          <w:tcPr>
            <w:tcW w:w="3399" w:type="dxa"/>
          </w:tcPr>
          <w:p w14:paraId="2AEB28C2" w14:textId="77777777" w:rsidR="00452C72" w:rsidRPr="00A63EBB" w:rsidRDefault="00452C72" w:rsidP="00F376BF">
            <w:pPr>
              <w:pStyle w:val="Tableaucourant"/>
              <w:rPr>
                <w:sz w:val="20"/>
                <w:szCs w:val="20"/>
              </w:rPr>
            </w:pPr>
            <w:r w:rsidRPr="00A63EBB">
              <w:rPr>
                <w:sz w:val="20"/>
                <w:szCs w:val="20"/>
              </w:rPr>
              <w:t>- Les membres du bureau</w:t>
            </w:r>
          </w:p>
          <w:p w14:paraId="1A876C60" w14:textId="77777777" w:rsidR="00452C72" w:rsidRPr="00A63EBB" w:rsidRDefault="00452C72" w:rsidP="00F376BF">
            <w:pPr>
              <w:pStyle w:val="Tableaucourant"/>
              <w:rPr>
                <w:sz w:val="20"/>
                <w:szCs w:val="20"/>
              </w:rPr>
            </w:pPr>
            <w:r w:rsidRPr="00A63EBB">
              <w:rPr>
                <w:sz w:val="20"/>
                <w:szCs w:val="20"/>
              </w:rPr>
              <w:t>- Les salariés (s’il y en a)</w:t>
            </w:r>
          </w:p>
          <w:p w14:paraId="585566CE" w14:textId="77777777" w:rsidR="00452C72" w:rsidRPr="00A63EBB" w:rsidRDefault="00452C72" w:rsidP="00F376BF">
            <w:pPr>
              <w:pStyle w:val="Tableaucourant"/>
              <w:rPr>
                <w:sz w:val="20"/>
                <w:szCs w:val="20"/>
              </w:rPr>
            </w:pPr>
            <w:r w:rsidRPr="00A63EBB">
              <w:rPr>
                <w:sz w:val="20"/>
                <w:szCs w:val="20"/>
              </w:rPr>
              <w:t>- Les bénévoles</w:t>
            </w:r>
          </w:p>
          <w:p w14:paraId="7ADB93B0" w14:textId="15DF6993" w:rsidR="00452C72" w:rsidRPr="00A63EBB" w:rsidRDefault="00452C72" w:rsidP="00F376BF">
            <w:pPr>
              <w:pStyle w:val="Tableaucourant"/>
              <w:rPr>
                <w:sz w:val="20"/>
                <w:szCs w:val="20"/>
              </w:rPr>
            </w:pPr>
            <w:r w:rsidRPr="00A63EBB">
              <w:rPr>
                <w:sz w:val="20"/>
                <w:szCs w:val="20"/>
              </w:rPr>
              <w:t>- Les adhérents</w:t>
            </w:r>
          </w:p>
        </w:tc>
        <w:tc>
          <w:tcPr>
            <w:tcW w:w="3399" w:type="dxa"/>
          </w:tcPr>
          <w:p w14:paraId="54BDAEB6" w14:textId="77777777" w:rsidR="00452C72" w:rsidRPr="00A63EBB" w:rsidRDefault="00452C72" w:rsidP="00F376BF">
            <w:pPr>
              <w:pStyle w:val="Tableaucourant"/>
              <w:rPr>
                <w:sz w:val="20"/>
                <w:szCs w:val="20"/>
              </w:rPr>
            </w:pPr>
            <w:r w:rsidRPr="00A63EBB">
              <w:rPr>
                <w:sz w:val="20"/>
                <w:szCs w:val="20"/>
              </w:rPr>
              <w:t>- Les élus (s'il y en a)</w:t>
            </w:r>
          </w:p>
          <w:p w14:paraId="0BE46BFD" w14:textId="77777777" w:rsidR="00452C72" w:rsidRPr="00A63EBB" w:rsidRDefault="00452C72" w:rsidP="00F376BF">
            <w:pPr>
              <w:pStyle w:val="Tableaucourant"/>
              <w:rPr>
                <w:sz w:val="20"/>
                <w:szCs w:val="20"/>
              </w:rPr>
            </w:pPr>
            <w:r w:rsidRPr="00A63EBB">
              <w:rPr>
                <w:sz w:val="20"/>
                <w:szCs w:val="20"/>
              </w:rPr>
              <w:t>-</w:t>
            </w:r>
            <w:r w:rsidR="005A654B" w:rsidRPr="00A63EBB">
              <w:rPr>
                <w:sz w:val="20"/>
                <w:szCs w:val="20"/>
              </w:rPr>
              <w:t xml:space="preserve"> </w:t>
            </w:r>
            <w:r w:rsidRPr="00A63EBB">
              <w:rPr>
                <w:sz w:val="20"/>
                <w:szCs w:val="20"/>
              </w:rPr>
              <w:t>Les fonctionnaires (ou salariés contractuels)</w:t>
            </w:r>
          </w:p>
          <w:p w14:paraId="550F83A7" w14:textId="77777777" w:rsidR="00452C72" w:rsidRPr="00A63EBB" w:rsidRDefault="00452C72" w:rsidP="00F376BF">
            <w:pPr>
              <w:pStyle w:val="Tableaucourant"/>
              <w:rPr>
                <w:sz w:val="20"/>
                <w:szCs w:val="20"/>
              </w:rPr>
            </w:pPr>
            <w:r w:rsidRPr="00A63EBB">
              <w:rPr>
                <w:sz w:val="20"/>
                <w:szCs w:val="20"/>
              </w:rPr>
              <w:t>- Les syndicats</w:t>
            </w:r>
          </w:p>
        </w:tc>
      </w:tr>
    </w:tbl>
    <w:p w14:paraId="135D6D00" w14:textId="77777777" w:rsidR="00452C72" w:rsidRPr="00BF2A19" w:rsidRDefault="00452C72" w:rsidP="00BF2A19">
      <w:pPr>
        <w:pStyle w:val="07Textecourant"/>
        <w:spacing w:line="240" w:lineRule="auto"/>
        <w:rPr>
          <w:sz w:val="14"/>
          <w:szCs w:val="14"/>
        </w:rPr>
      </w:pPr>
    </w:p>
    <w:p w14:paraId="022B6535" w14:textId="77777777" w:rsidR="00452C72" w:rsidRPr="0001032D" w:rsidRDefault="00452C72" w:rsidP="00F376BF">
      <w:pPr>
        <w:pStyle w:val="TEnumpuce"/>
        <w:rPr>
          <w:b/>
        </w:rPr>
      </w:pPr>
      <w:r w:rsidRPr="0001032D">
        <w:rPr>
          <w:b/>
        </w:rPr>
        <w:t>La taille de l'organisation</w:t>
      </w:r>
    </w:p>
    <w:p w14:paraId="55D64B50" w14:textId="452338EA" w:rsidR="00452C72" w:rsidRDefault="00452C72" w:rsidP="00F376BF">
      <w:pPr>
        <w:pStyle w:val="TTextecourant"/>
      </w:pPr>
      <w:r>
        <w:t xml:space="preserve">Les pratiques de management dépendent de la taille de l'organisation. En effet, dans les organisations de petite taille, les membres doivent généralement être plus polyvalents et flexibles dans leurs missions. Plus une organisation est grande, plus il est nécessaire de définir précisément le rôle de chaque membre, une hiérarchie entre </w:t>
      </w:r>
      <w:r w:rsidR="006F11AD">
        <w:t>eux</w:t>
      </w:r>
      <w:r>
        <w:t>, ainsi que des procédures pour harmoniser leur comportement.</w:t>
      </w:r>
    </w:p>
    <w:p w14:paraId="35B283E6" w14:textId="77777777" w:rsidR="00452C72" w:rsidRPr="0001032D" w:rsidRDefault="00452C72" w:rsidP="00F376BF">
      <w:pPr>
        <w:pStyle w:val="TEnumpuce"/>
        <w:rPr>
          <w:b/>
        </w:rPr>
      </w:pPr>
      <w:r w:rsidRPr="0001032D">
        <w:rPr>
          <w:b/>
        </w:rPr>
        <w:t>L'histoire de l'organisation</w:t>
      </w:r>
    </w:p>
    <w:p w14:paraId="1C7AEC5E" w14:textId="77777777" w:rsidR="00452C72" w:rsidRDefault="00452C72" w:rsidP="00F376BF">
      <w:pPr>
        <w:pStyle w:val="TTextecourant"/>
      </w:pPr>
      <w:r>
        <w:t>L'histoire de l'organisation influence les pratiques de management. En effet, les managers prennent leurs décisions en se référant à l'expérience de l'organisation, aux réussites et aux échecs. Plus une organisation est âgée, plus elle met en place des procédures pour éviter de reproduire les échecs passés. Cependant, l'expérience peut conduire les organisations à opérer toujours de la même façon, sans oser se renouveler, à la différence d'une organisation jeune qui est obligée d'innover.</w:t>
      </w:r>
    </w:p>
    <w:p w14:paraId="20D68162" w14:textId="77777777" w:rsidR="00452C72" w:rsidRPr="0001032D" w:rsidRDefault="00452C72" w:rsidP="00F376BF">
      <w:pPr>
        <w:pStyle w:val="TEnumpuce"/>
        <w:rPr>
          <w:b/>
        </w:rPr>
      </w:pPr>
      <w:r w:rsidRPr="0001032D">
        <w:rPr>
          <w:b/>
        </w:rPr>
        <w:t>La culture de l'organisation</w:t>
      </w:r>
    </w:p>
    <w:p w14:paraId="602E4851" w14:textId="691088B7" w:rsidR="00452C72" w:rsidRDefault="00452C72" w:rsidP="00F376BF">
      <w:pPr>
        <w:pStyle w:val="TTextecourant"/>
      </w:pPr>
      <w:r>
        <w:t>La</w:t>
      </w:r>
      <w:r w:rsidRPr="00665832">
        <w:t xml:space="preserve"> culture d’</w:t>
      </w:r>
      <w:r>
        <w:t>une organisation</w:t>
      </w:r>
      <w:r w:rsidRPr="00665832">
        <w:t xml:space="preserve"> peut se définir comme l’ensemble des valeurs </w:t>
      </w:r>
      <w:r>
        <w:t>(ex</w:t>
      </w:r>
      <w:r w:rsidR="005C0E67">
        <w:t>.</w:t>
      </w:r>
      <w:r w:rsidR="00F376BF">
        <w:t> </w:t>
      </w:r>
      <w:r>
        <w:t xml:space="preserve">: créativité, passion, excellence, éthique…) </w:t>
      </w:r>
      <w:r w:rsidRPr="00665832">
        <w:t xml:space="preserve">et des pratiques </w:t>
      </w:r>
      <w:r>
        <w:t>(ex</w:t>
      </w:r>
      <w:r w:rsidR="005C0E67">
        <w:t>.</w:t>
      </w:r>
      <w:r w:rsidR="00F376BF">
        <w:t> </w:t>
      </w:r>
      <w:r>
        <w:t>: la pause</w:t>
      </w:r>
      <w:r w:rsidR="00B93FA3">
        <w:t>-</w:t>
      </w:r>
      <w:r>
        <w:t xml:space="preserve">café, la tenue vestimentaire, le vouvoiement ou le tutoiement, le parcours d'intégration des nouveaux membres…) </w:t>
      </w:r>
      <w:r w:rsidRPr="00665832">
        <w:t>partagées par les membres d</w:t>
      </w:r>
      <w:r>
        <w:t>e l'organisation. La culture est issue des dirigeants et de l'histoire de l'organisation. Elle influence les pratiques managériales, de manière consciente ou non.</w:t>
      </w:r>
    </w:p>
    <w:p w14:paraId="14A1208E" w14:textId="77777777" w:rsidR="00452C72" w:rsidRPr="0001032D" w:rsidRDefault="00452C72" w:rsidP="00F376BF">
      <w:pPr>
        <w:pStyle w:val="TEnumpuce"/>
        <w:rPr>
          <w:b/>
        </w:rPr>
      </w:pPr>
      <w:r w:rsidRPr="0001032D">
        <w:rPr>
          <w:b/>
        </w:rPr>
        <w:t>Les technologies utilisées</w:t>
      </w:r>
    </w:p>
    <w:p w14:paraId="046A924D" w14:textId="35DBCD28" w:rsidR="00452C72" w:rsidRDefault="00452C72" w:rsidP="00F376BF">
      <w:pPr>
        <w:pStyle w:val="TTextecourant"/>
      </w:pPr>
      <w:r>
        <w:t xml:space="preserve">Les pratiques managériales évoluent selon </w:t>
      </w:r>
      <w:r w:rsidR="005C0E67">
        <w:t>les</w:t>
      </w:r>
      <w:r>
        <w:t xml:space="preserve"> technologies utilisées. En effet, plus les technologies utilisées sont pointues et plus les membres doivent être formés à leur utilisation</w:t>
      </w:r>
      <w:r w:rsidR="00F376BF">
        <w:t> </w:t>
      </w:r>
      <w:r>
        <w:t xml:space="preserve">: soit </w:t>
      </w:r>
      <w:r>
        <w:lastRenderedPageBreak/>
        <w:t>l'organisation recrute des profils précis, formés à ces technologies, soit l'organisation doit former ses membres. De plus, le recours aux nouvelles technologies permet de développer le travail en mobilité</w:t>
      </w:r>
      <w:r w:rsidR="00F376BF">
        <w:t> </w:t>
      </w:r>
      <w:r>
        <w:t>: avec un smartphone, une tablette ou un ordinateur portable, les membres de l'organisation peuvent travailler partout. Les managers ne doivent alors plus surveiller les heures de présence de leurs collaborateurs, mais veiller à ce que le travail soit accompli.</w:t>
      </w:r>
    </w:p>
    <w:p w14:paraId="077B359F" w14:textId="77777777" w:rsidR="00452C72" w:rsidRDefault="00F376BF" w:rsidP="00F376BF">
      <w:pPr>
        <w:pStyle w:val="04Exercicestitre"/>
      </w:pPr>
      <w:r>
        <w:t xml:space="preserve">2. </w:t>
      </w:r>
      <w:r w:rsidR="00452C72">
        <w:t>Comment l'environnement impacte-t-il le management</w:t>
      </w:r>
      <w:r>
        <w:t> </w:t>
      </w:r>
      <w:r w:rsidR="00452C72">
        <w:t>?</w:t>
      </w:r>
    </w:p>
    <w:p w14:paraId="41B61B30" w14:textId="77777777" w:rsidR="00452C72" w:rsidRDefault="00452C72" w:rsidP="00F376BF">
      <w:pPr>
        <w:pStyle w:val="TTextecourant"/>
        <w:rPr>
          <w:b/>
          <w:bCs/>
        </w:rPr>
      </w:pPr>
      <w:r w:rsidRPr="007B7EEB">
        <w:t>L</w:t>
      </w:r>
      <w:r>
        <w:t>es pratiques de management sont influencées par l'environnement, c'est-à-dire par un grand nombre d'acteurs et de facteurs externes à l'organisation.</w:t>
      </w:r>
    </w:p>
    <w:p w14:paraId="1C10AEC4" w14:textId="4C5A4CE0" w:rsidR="00452C72" w:rsidRPr="0001032D" w:rsidRDefault="00452C72" w:rsidP="00F376BF">
      <w:pPr>
        <w:pStyle w:val="TEnumpuce"/>
        <w:rPr>
          <w:b/>
        </w:rPr>
      </w:pPr>
      <w:r w:rsidRPr="0001032D">
        <w:rPr>
          <w:b/>
        </w:rPr>
        <w:t>Les parties prenantes externes</w:t>
      </w:r>
    </w:p>
    <w:p w14:paraId="665EE4B7" w14:textId="56555F91" w:rsidR="00452C72" w:rsidRPr="00564B52" w:rsidRDefault="00452C72" w:rsidP="005C0E67">
      <w:pPr>
        <w:pStyle w:val="TTextecourant"/>
        <w:rPr>
          <w:b/>
          <w:bCs/>
        </w:rPr>
      </w:pPr>
      <w:r w:rsidRPr="00564B52">
        <w:t xml:space="preserve">Les parties prenantes </w:t>
      </w:r>
      <w:r>
        <w:t>ex</w:t>
      </w:r>
      <w:r w:rsidRPr="00564B52">
        <w:t xml:space="preserve">ternes regroupent l’ensemble </w:t>
      </w:r>
      <w:r w:rsidRPr="006D2C2B">
        <w:t>des acteurs externes à l’organisation, qui impactent ou sont impactés par les activités de l’organisation.</w:t>
      </w:r>
      <w:r>
        <w:t xml:space="preserve"> </w:t>
      </w:r>
      <w:r w:rsidRPr="00564B52">
        <w:t xml:space="preserve">Le management doit tenir compte des intérêts </w:t>
      </w:r>
      <w:r>
        <w:t xml:space="preserve">différents, parfois opposés, </w:t>
      </w:r>
      <w:r w:rsidRPr="00564B52">
        <w:t>de</w:t>
      </w:r>
      <w:r>
        <w:t xml:space="preserve"> chaque</w:t>
      </w:r>
      <w:r w:rsidRPr="00564B52">
        <w:t xml:space="preserve"> partie prenante </w:t>
      </w:r>
      <w:r>
        <w:t>ex</w:t>
      </w:r>
      <w:r w:rsidRPr="00564B52">
        <w:t>terne tout</w:t>
      </w:r>
      <w:r>
        <w:t xml:space="preserve"> </w:t>
      </w:r>
      <w:r w:rsidRPr="00564B52">
        <w:t>en poursuivant l'intérêt</w:t>
      </w:r>
      <w:r>
        <w:t xml:space="preserve"> </w:t>
      </w:r>
      <w:r w:rsidRPr="00564B52">
        <w:t>de l'organisation.</w:t>
      </w:r>
    </w:p>
    <w:p w14:paraId="61793B70" w14:textId="44855790" w:rsidR="00452C72" w:rsidRDefault="00452C72" w:rsidP="00F376BF">
      <w:pPr>
        <w:pStyle w:val="TTextecourant"/>
        <w:rPr>
          <w:b/>
          <w:bCs/>
        </w:rPr>
      </w:pPr>
      <w:r w:rsidRPr="00564B52">
        <w:t xml:space="preserve">Les parties prenantes </w:t>
      </w:r>
      <w:r>
        <w:t>ex</w:t>
      </w:r>
      <w:r w:rsidRPr="00564B52">
        <w:t>ternes</w:t>
      </w:r>
      <w:r w:rsidR="005C0E67">
        <w:t xml:space="preserve"> sont différentes selon le</w:t>
      </w:r>
      <w:r w:rsidRPr="00564B52">
        <w:t xml:space="preserve"> type d'organisation</w:t>
      </w:r>
      <w:r w:rsidR="005C0E67">
        <w:t>.</w:t>
      </w:r>
    </w:p>
    <w:p w14:paraId="02EA144E" w14:textId="77777777" w:rsidR="00452C72" w:rsidRPr="00BF2A19" w:rsidRDefault="00452C72" w:rsidP="00452C72">
      <w:pPr>
        <w:rPr>
          <w:sz w:val="12"/>
          <w:szCs w:val="12"/>
          <w:u w:val="single"/>
        </w:rPr>
      </w:pPr>
    </w:p>
    <w:tbl>
      <w:tblPr>
        <w:tblStyle w:val="Grilledutableau"/>
        <w:tblW w:w="9180" w:type="dxa"/>
        <w:jc w:val="center"/>
        <w:tblLook w:val="04A0" w:firstRow="1" w:lastRow="0" w:firstColumn="1" w:lastColumn="0" w:noHBand="0" w:noVBand="1"/>
      </w:tblPr>
      <w:tblGrid>
        <w:gridCol w:w="2748"/>
        <w:gridCol w:w="3260"/>
        <w:gridCol w:w="3172"/>
      </w:tblGrid>
      <w:tr w:rsidR="00452C72" w:rsidRPr="00CC486A" w14:paraId="438B87DD" w14:textId="77777777" w:rsidTr="00BF2A19">
        <w:trPr>
          <w:trHeight w:val="626"/>
          <w:jc w:val="center"/>
        </w:trPr>
        <w:tc>
          <w:tcPr>
            <w:tcW w:w="2748" w:type="dxa"/>
            <w:shd w:val="clear" w:color="auto" w:fill="EEECE1" w:themeFill="background2"/>
            <w:vAlign w:val="center"/>
          </w:tcPr>
          <w:p w14:paraId="691994ED" w14:textId="77777777" w:rsidR="00452C72" w:rsidRPr="00CC486A" w:rsidRDefault="00452C72" w:rsidP="00BF2A19">
            <w:pPr>
              <w:pStyle w:val="Tableautetiere"/>
              <w:jc w:val="center"/>
              <w:rPr>
                <w:sz w:val="20"/>
                <w:szCs w:val="20"/>
              </w:rPr>
            </w:pPr>
            <w:r w:rsidRPr="00CC486A">
              <w:rPr>
                <w:sz w:val="20"/>
                <w:szCs w:val="20"/>
              </w:rPr>
              <w:t>Parties prenantes externes d’une entreprise</w:t>
            </w:r>
          </w:p>
        </w:tc>
        <w:tc>
          <w:tcPr>
            <w:tcW w:w="3260" w:type="dxa"/>
            <w:shd w:val="clear" w:color="auto" w:fill="EEECE1" w:themeFill="background2"/>
            <w:vAlign w:val="center"/>
          </w:tcPr>
          <w:p w14:paraId="157348D4" w14:textId="77777777" w:rsidR="00452C72" w:rsidRPr="00CC486A" w:rsidRDefault="00452C72" w:rsidP="00BF2A19">
            <w:pPr>
              <w:pStyle w:val="Tableautetiere"/>
              <w:jc w:val="center"/>
              <w:rPr>
                <w:sz w:val="20"/>
                <w:szCs w:val="20"/>
              </w:rPr>
            </w:pPr>
            <w:r w:rsidRPr="00CC486A">
              <w:rPr>
                <w:sz w:val="20"/>
                <w:szCs w:val="20"/>
              </w:rPr>
              <w:t>Parties prenantes externes d’une association</w:t>
            </w:r>
          </w:p>
        </w:tc>
        <w:tc>
          <w:tcPr>
            <w:tcW w:w="3172" w:type="dxa"/>
            <w:shd w:val="clear" w:color="auto" w:fill="EEECE1" w:themeFill="background2"/>
            <w:vAlign w:val="center"/>
          </w:tcPr>
          <w:p w14:paraId="02BDB9BF" w14:textId="77777777" w:rsidR="00452C72" w:rsidRPr="00CC486A" w:rsidRDefault="00452C72" w:rsidP="00BF2A19">
            <w:pPr>
              <w:pStyle w:val="Tableautetiere"/>
              <w:jc w:val="center"/>
              <w:rPr>
                <w:sz w:val="20"/>
                <w:szCs w:val="20"/>
              </w:rPr>
            </w:pPr>
            <w:r w:rsidRPr="00CC486A">
              <w:rPr>
                <w:sz w:val="20"/>
                <w:szCs w:val="20"/>
              </w:rPr>
              <w:t>Parties prenantes externes d’une organisation publique</w:t>
            </w:r>
          </w:p>
        </w:tc>
      </w:tr>
      <w:tr w:rsidR="00452C72" w:rsidRPr="00CC486A" w14:paraId="4979218F" w14:textId="77777777" w:rsidTr="00BF2A19">
        <w:trPr>
          <w:trHeight w:val="783"/>
          <w:jc w:val="center"/>
        </w:trPr>
        <w:tc>
          <w:tcPr>
            <w:tcW w:w="2748" w:type="dxa"/>
            <w:shd w:val="clear" w:color="auto" w:fill="auto"/>
          </w:tcPr>
          <w:p w14:paraId="5AE7FAF5" w14:textId="77777777" w:rsidR="00452C72" w:rsidRPr="00CC486A" w:rsidRDefault="00452C72" w:rsidP="00F376BF">
            <w:pPr>
              <w:pStyle w:val="Tableaucourant"/>
              <w:rPr>
                <w:b/>
                <w:bCs/>
                <w:sz w:val="20"/>
                <w:szCs w:val="20"/>
              </w:rPr>
            </w:pPr>
            <w:r w:rsidRPr="00CC486A">
              <w:rPr>
                <w:sz w:val="20"/>
                <w:szCs w:val="20"/>
              </w:rPr>
              <w:t>Clients, concurrents, fournisseurs, distributeurs, banques, État, associations, média…</w:t>
            </w:r>
          </w:p>
        </w:tc>
        <w:tc>
          <w:tcPr>
            <w:tcW w:w="3260" w:type="dxa"/>
            <w:shd w:val="clear" w:color="auto" w:fill="auto"/>
          </w:tcPr>
          <w:p w14:paraId="10937966" w14:textId="77777777" w:rsidR="00452C72" w:rsidRPr="00CC486A" w:rsidRDefault="00452C72" w:rsidP="00F376BF">
            <w:pPr>
              <w:pStyle w:val="Tableaucourant"/>
              <w:rPr>
                <w:b/>
                <w:bCs/>
                <w:sz w:val="20"/>
                <w:szCs w:val="20"/>
              </w:rPr>
            </w:pPr>
            <w:r w:rsidRPr="00CC486A">
              <w:rPr>
                <w:sz w:val="20"/>
                <w:szCs w:val="20"/>
              </w:rPr>
              <w:t>Donateurs, administrations publiques, associations partenaires, média, entreprises…</w:t>
            </w:r>
          </w:p>
        </w:tc>
        <w:tc>
          <w:tcPr>
            <w:tcW w:w="3172" w:type="dxa"/>
            <w:shd w:val="clear" w:color="auto" w:fill="auto"/>
          </w:tcPr>
          <w:p w14:paraId="04A50338" w14:textId="77777777" w:rsidR="00452C72" w:rsidRPr="00CC486A" w:rsidRDefault="00452C72" w:rsidP="00F376BF">
            <w:pPr>
              <w:pStyle w:val="Tableaucourant"/>
              <w:rPr>
                <w:b/>
                <w:bCs/>
                <w:sz w:val="20"/>
                <w:szCs w:val="20"/>
              </w:rPr>
            </w:pPr>
            <w:r w:rsidRPr="00CC486A">
              <w:rPr>
                <w:sz w:val="20"/>
                <w:szCs w:val="20"/>
              </w:rPr>
              <w:t>Électeurs, usagers, entreprises partenaires, associations, groupes de pression, média…</w:t>
            </w:r>
          </w:p>
        </w:tc>
      </w:tr>
    </w:tbl>
    <w:p w14:paraId="470936DA" w14:textId="77777777" w:rsidR="00452C72" w:rsidRDefault="00452C72" w:rsidP="00452C72">
      <w:pPr>
        <w:pStyle w:val="06Questionenonce"/>
        <w:spacing w:before="0"/>
        <w:rPr>
          <w:rFonts w:ascii="GuidePedagoTimes" w:hAnsi="GuidePedagoTimes" w:cs="GuidePedagoTimes"/>
          <w:b w:val="0"/>
          <w:bCs w:val="0"/>
          <w:spacing w:val="0"/>
          <w:sz w:val="22"/>
          <w:szCs w:val="22"/>
        </w:rPr>
      </w:pPr>
    </w:p>
    <w:p w14:paraId="478A231C" w14:textId="4A7D0674" w:rsidR="00452C72" w:rsidRPr="0001032D" w:rsidRDefault="00452C72" w:rsidP="00F376BF">
      <w:pPr>
        <w:pStyle w:val="TEnumpuce"/>
        <w:rPr>
          <w:b/>
        </w:rPr>
      </w:pPr>
      <w:r w:rsidRPr="0001032D">
        <w:rPr>
          <w:b/>
        </w:rPr>
        <w:t>Le macro</w:t>
      </w:r>
      <w:r w:rsidR="00B93FA3" w:rsidRPr="0001032D">
        <w:rPr>
          <w:b/>
        </w:rPr>
        <w:t>-</w:t>
      </w:r>
      <w:r w:rsidRPr="0001032D">
        <w:rPr>
          <w:b/>
        </w:rPr>
        <w:t>environnement</w:t>
      </w:r>
    </w:p>
    <w:p w14:paraId="1971C1D1" w14:textId="77777777" w:rsidR="00452C72" w:rsidRDefault="00452C72" w:rsidP="00F376BF">
      <w:pPr>
        <w:pStyle w:val="TTextecourant"/>
        <w:rPr>
          <w:b/>
          <w:bCs/>
        </w:rPr>
      </w:pPr>
      <w:r w:rsidRPr="00A0603B">
        <w:t>Le macro</w:t>
      </w:r>
      <w:r w:rsidR="00B93FA3">
        <w:t>-</w:t>
      </w:r>
      <w:r w:rsidRPr="00A0603B">
        <w:t>environnement désigne l’environnement politique, économique, socioculturel,</w:t>
      </w:r>
      <w:r>
        <w:t xml:space="preserve"> </w:t>
      </w:r>
      <w:r w:rsidRPr="00A0603B">
        <w:t>technologique,</w:t>
      </w:r>
      <w:r>
        <w:t xml:space="preserve"> é</w:t>
      </w:r>
      <w:r w:rsidRPr="00A0603B">
        <w:t>cologique et légal de l’organisation (acronyme PESTEL).</w:t>
      </w:r>
    </w:p>
    <w:p w14:paraId="76F642FA" w14:textId="77777777" w:rsidR="00452C72" w:rsidRPr="00BF2A19" w:rsidRDefault="00452C72" w:rsidP="00BF2A19">
      <w:pPr>
        <w:rPr>
          <w:sz w:val="12"/>
          <w:szCs w:val="12"/>
          <w:u w:val="single"/>
        </w:rPr>
      </w:pPr>
    </w:p>
    <w:tbl>
      <w:tblPr>
        <w:tblStyle w:val="Grilledutableau"/>
        <w:tblW w:w="9072" w:type="dxa"/>
        <w:tblInd w:w="-5" w:type="dxa"/>
        <w:tblLook w:val="04A0" w:firstRow="1" w:lastRow="0" w:firstColumn="1" w:lastColumn="0" w:noHBand="0" w:noVBand="1"/>
      </w:tblPr>
      <w:tblGrid>
        <w:gridCol w:w="1814"/>
        <w:gridCol w:w="7258"/>
      </w:tblGrid>
      <w:tr w:rsidR="00452C72" w:rsidRPr="00CC486A" w14:paraId="3F898447" w14:textId="77777777" w:rsidTr="00BF2A19">
        <w:trPr>
          <w:trHeight w:val="626"/>
        </w:trPr>
        <w:tc>
          <w:tcPr>
            <w:tcW w:w="1814" w:type="dxa"/>
            <w:shd w:val="clear" w:color="auto" w:fill="EEECE1" w:themeFill="background2"/>
            <w:vAlign w:val="center"/>
          </w:tcPr>
          <w:p w14:paraId="60745F6A" w14:textId="77777777" w:rsidR="00452C72" w:rsidRPr="00CC486A" w:rsidRDefault="00452C72" w:rsidP="00BF2A19">
            <w:pPr>
              <w:pStyle w:val="Tableautetiere"/>
              <w:jc w:val="center"/>
              <w:rPr>
                <w:sz w:val="20"/>
                <w:szCs w:val="20"/>
              </w:rPr>
            </w:pPr>
            <w:r w:rsidRPr="00CC486A">
              <w:rPr>
                <w:sz w:val="20"/>
                <w:szCs w:val="20"/>
              </w:rPr>
              <w:t>Facteur environnemental</w:t>
            </w:r>
          </w:p>
        </w:tc>
        <w:tc>
          <w:tcPr>
            <w:tcW w:w="7258" w:type="dxa"/>
            <w:shd w:val="clear" w:color="auto" w:fill="EEECE1" w:themeFill="background2"/>
            <w:vAlign w:val="center"/>
          </w:tcPr>
          <w:p w14:paraId="6B7D433E" w14:textId="77777777" w:rsidR="00452C72" w:rsidRPr="00CC486A" w:rsidRDefault="00452C72" w:rsidP="00BF2A19">
            <w:pPr>
              <w:pStyle w:val="Tableautetiere"/>
              <w:jc w:val="center"/>
              <w:rPr>
                <w:sz w:val="20"/>
                <w:szCs w:val="20"/>
              </w:rPr>
            </w:pPr>
            <w:r w:rsidRPr="00CC486A">
              <w:rPr>
                <w:sz w:val="20"/>
                <w:szCs w:val="20"/>
              </w:rPr>
              <w:t>Influence sur le management des organisations</w:t>
            </w:r>
          </w:p>
        </w:tc>
      </w:tr>
      <w:tr w:rsidR="00452C72" w:rsidRPr="00CC486A" w14:paraId="6AEA6853" w14:textId="77777777" w:rsidTr="00BF2A19">
        <w:trPr>
          <w:trHeight w:val="1077"/>
        </w:trPr>
        <w:tc>
          <w:tcPr>
            <w:tcW w:w="1814" w:type="dxa"/>
            <w:shd w:val="clear" w:color="auto" w:fill="F2F2F2" w:themeFill="background1" w:themeFillShade="F2"/>
            <w:vAlign w:val="center"/>
          </w:tcPr>
          <w:p w14:paraId="19A48138" w14:textId="77777777" w:rsidR="00452C72" w:rsidRPr="00BF2A19" w:rsidRDefault="00452C72" w:rsidP="00BF2A19">
            <w:pPr>
              <w:pStyle w:val="Tableaucourant"/>
              <w:jc w:val="center"/>
              <w:rPr>
                <w:b/>
                <w:bCs/>
                <w:sz w:val="20"/>
                <w:szCs w:val="20"/>
              </w:rPr>
            </w:pPr>
            <w:r w:rsidRPr="00BF2A19">
              <w:rPr>
                <w:b/>
                <w:bCs/>
                <w:sz w:val="20"/>
                <w:szCs w:val="20"/>
              </w:rPr>
              <w:t>Politique</w:t>
            </w:r>
          </w:p>
        </w:tc>
        <w:tc>
          <w:tcPr>
            <w:tcW w:w="7258" w:type="dxa"/>
            <w:vAlign w:val="center"/>
          </w:tcPr>
          <w:p w14:paraId="56FE0A9F" w14:textId="77777777" w:rsidR="00452C72" w:rsidRPr="00CC486A" w:rsidRDefault="00452C72" w:rsidP="00BF2A19">
            <w:pPr>
              <w:pStyle w:val="Tableaucourant"/>
              <w:jc w:val="left"/>
              <w:rPr>
                <w:b/>
                <w:bCs/>
                <w:sz w:val="20"/>
                <w:szCs w:val="20"/>
              </w:rPr>
            </w:pPr>
            <w:r w:rsidRPr="00CC486A">
              <w:rPr>
                <w:sz w:val="20"/>
                <w:szCs w:val="20"/>
              </w:rPr>
              <w:t>La stabilité gouvernementale, les mesures fiscales, les accords en matière de commerce extérieur ou la protection sociale au sein d’un pays impactent les pratiques de management des organisations implantées dans le pays. Par exemple, les entreprises étudient la politique fiscale des pays avant de s'y implanter.</w:t>
            </w:r>
          </w:p>
        </w:tc>
      </w:tr>
      <w:tr w:rsidR="00452C72" w:rsidRPr="00CC486A" w14:paraId="0F3E7C86" w14:textId="77777777" w:rsidTr="00BF2A19">
        <w:trPr>
          <w:trHeight w:val="1077"/>
        </w:trPr>
        <w:tc>
          <w:tcPr>
            <w:tcW w:w="1814" w:type="dxa"/>
            <w:shd w:val="clear" w:color="auto" w:fill="F2F2F2" w:themeFill="background1" w:themeFillShade="F2"/>
            <w:vAlign w:val="center"/>
          </w:tcPr>
          <w:p w14:paraId="3DB12DF1" w14:textId="77777777" w:rsidR="00452C72" w:rsidRPr="00BF2A19" w:rsidRDefault="00452C72" w:rsidP="00BF2A19">
            <w:pPr>
              <w:pStyle w:val="Tableaucourant"/>
              <w:jc w:val="center"/>
              <w:rPr>
                <w:b/>
                <w:bCs/>
                <w:sz w:val="20"/>
                <w:szCs w:val="20"/>
              </w:rPr>
            </w:pPr>
            <w:r w:rsidRPr="00BF2A19">
              <w:rPr>
                <w:b/>
                <w:bCs/>
                <w:sz w:val="20"/>
                <w:szCs w:val="20"/>
              </w:rPr>
              <w:t>Économique</w:t>
            </w:r>
          </w:p>
        </w:tc>
        <w:tc>
          <w:tcPr>
            <w:tcW w:w="7258" w:type="dxa"/>
            <w:vAlign w:val="center"/>
          </w:tcPr>
          <w:p w14:paraId="513C3EB5" w14:textId="77777777" w:rsidR="00452C72" w:rsidRPr="00CC486A" w:rsidRDefault="00452C72" w:rsidP="00BF2A19">
            <w:pPr>
              <w:pStyle w:val="Tableaucourant"/>
              <w:jc w:val="left"/>
              <w:rPr>
                <w:b/>
                <w:bCs/>
                <w:sz w:val="20"/>
                <w:szCs w:val="20"/>
              </w:rPr>
            </w:pPr>
            <w:r w:rsidRPr="00CC486A">
              <w:rPr>
                <w:sz w:val="20"/>
                <w:szCs w:val="20"/>
              </w:rPr>
              <w:t>Les pratiques de management sont influencées par la situation économique (croissance, chômage, inflation</w:t>
            </w:r>
            <w:r w:rsidR="00B93FA3" w:rsidRPr="00CC486A">
              <w:rPr>
                <w:sz w:val="20"/>
                <w:szCs w:val="20"/>
              </w:rPr>
              <w:t>…</w:t>
            </w:r>
            <w:r w:rsidRPr="00CC486A">
              <w:rPr>
                <w:sz w:val="20"/>
                <w:szCs w:val="20"/>
              </w:rPr>
              <w:t>). Ainsi, lorsque le taux de chômage est élevé, une entreprise peut se permettre d’être plus exigeante dans le recrutement de ses salariés car elle reçoit de nombreuses candidatures.</w:t>
            </w:r>
          </w:p>
        </w:tc>
      </w:tr>
      <w:tr w:rsidR="00452C72" w:rsidRPr="00CC486A" w14:paraId="3923A142" w14:textId="77777777" w:rsidTr="00BF2A19">
        <w:trPr>
          <w:trHeight w:val="1531"/>
        </w:trPr>
        <w:tc>
          <w:tcPr>
            <w:tcW w:w="1814" w:type="dxa"/>
            <w:shd w:val="clear" w:color="auto" w:fill="F2F2F2" w:themeFill="background1" w:themeFillShade="F2"/>
            <w:vAlign w:val="center"/>
          </w:tcPr>
          <w:p w14:paraId="6B3BE131" w14:textId="77777777" w:rsidR="00452C72" w:rsidRPr="00BF2A19" w:rsidRDefault="00452C72" w:rsidP="00BF2A19">
            <w:pPr>
              <w:pStyle w:val="Tableaucourant"/>
              <w:jc w:val="center"/>
              <w:rPr>
                <w:b/>
                <w:bCs/>
                <w:sz w:val="20"/>
                <w:szCs w:val="20"/>
              </w:rPr>
            </w:pPr>
            <w:r w:rsidRPr="00BF2A19">
              <w:rPr>
                <w:b/>
                <w:bCs/>
                <w:sz w:val="20"/>
                <w:szCs w:val="20"/>
              </w:rPr>
              <w:t>Socioculturel</w:t>
            </w:r>
          </w:p>
        </w:tc>
        <w:tc>
          <w:tcPr>
            <w:tcW w:w="7258" w:type="dxa"/>
            <w:vAlign w:val="center"/>
          </w:tcPr>
          <w:p w14:paraId="733AFDB3" w14:textId="7E3FD596" w:rsidR="00452C72" w:rsidRPr="00CC486A" w:rsidRDefault="00452C72" w:rsidP="00BF2A19">
            <w:pPr>
              <w:pStyle w:val="Tableaucourant"/>
              <w:jc w:val="left"/>
              <w:rPr>
                <w:b/>
                <w:bCs/>
                <w:sz w:val="20"/>
                <w:szCs w:val="20"/>
              </w:rPr>
            </w:pPr>
            <w:r w:rsidRPr="00CC486A">
              <w:rPr>
                <w:sz w:val="20"/>
                <w:szCs w:val="20"/>
              </w:rPr>
              <w:t xml:space="preserve">L’environnement socioculturel désigne l’ensemble des pratiques sociales et culturelles en vigueur dans la zone géographique de l’organisation. Les pratiques de management doivent s’adapter aux modes de vie, à la démographie et au niveau d'éducation. C'est notamment le cas des entreprises comme Google qui proposent des conditions de travail attractives (télétravail, open </w:t>
            </w:r>
            <w:proofErr w:type="spellStart"/>
            <w:r w:rsidRPr="00CC486A">
              <w:rPr>
                <w:sz w:val="20"/>
                <w:szCs w:val="20"/>
              </w:rPr>
              <w:t>space</w:t>
            </w:r>
            <w:proofErr w:type="spellEnd"/>
            <w:r w:rsidRPr="00CC486A">
              <w:rPr>
                <w:sz w:val="20"/>
                <w:szCs w:val="20"/>
              </w:rPr>
              <w:t xml:space="preserve">, horaires flexibles, tutoiement, peu de niveaux hiérarchiques…) pour séduire la génération des </w:t>
            </w:r>
            <w:proofErr w:type="spellStart"/>
            <w:r w:rsidRPr="00CC486A">
              <w:rPr>
                <w:sz w:val="20"/>
                <w:szCs w:val="20"/>
              </w:rPr>
              <w:t>millen</w:t>
            </w:r>
            <w:r w:rsidR="00A43A94" w:rsidRPr="00CC486A">
              <w:rPr>
                <w:sz w:val="20"/>
                <w:szCs w:val="20"/>
              </w:rPr>
              <w:t>n</w:t>
            </w:r>
            <w:r w:rsidRPr="00CC486A">
              <w:rPr>
                <w:sz w:val="20"/>
                <w:szCs w:val="20"/>
              </w:rPr>
              <w:t>ials</w:t>
            </w:r>
            <w:proofErr w:type="spellEnd"/>
            <w:r w:rsidRPr="00CC486A">
              <w:rPr>
                <w:sz w:val="20"/>
                <w:szCs w:val="20"/>
              </w:rPr>
              <w:t>.</w:t>
            </w:r>
          </w:p>
        </w:tc>
      </w:tr>
      <w:tr w:rsidR="00452C72" w:rsidRPr="00CC486A" w14:paraId="1284A1A6" w14:textId="77777777" w:rsidTr="00BF2A19">
        <w:trPr>
          <w:trHeight w:val="1098"/>
        </w:trPr>
        <w:tc>
          <w:tcPr>
            <w:tcW w:w="1814" w:type="dxa"/>
            <w:shd w:val="clear" w:color="auto" w:fill="F2F2F2" w:themeFill="background1" w:themeFillShade="F2"/>
            <w:vAlign w:val="center"/>
          </w:tcPr>
          <w:p w14:paraId="26EE23BD" w14:textId="77777777" w:rsidR="00452C72" w:rsidRPr="00BF2A19" w:rsidRDefault="00452C72" w:rsidP="00BF2A19">
            <w:pPr>
              <w:pStyle w:val="Tableaucourant"/>
              <w:jc w:val="center"/>
              <w:rPr>
                <w:b/>
                <w:bCs/>
                <w:sz w:val="20"/>
                <w:szCs w:val="20"/>
              </w:rPr>
            </w:pPr>
            <w:r w:rsidRPr="00BF2A19">
              <w:rPr>
                <w:b/>
                <w:bCs/>
                <w:sz w:val="20"/>
                <w:szCs w:val="20"/>
              </w:rPr>
              <w:t>Technologique</w:t>
            </w:r>
          </w:p>
        </w:tc>
        <w:tc>
          <w:tcPr>
            <w:tcW w:w="7258" w:type="dxa"/>
            <w:vAlign w:val="center"/>
          </w:tcPr>
          <w:p w14:paraId="18DDDD6F" w14:textId="01196363" w:rsidR="00452C72" w:rsidRPr="00CC486A" w:rsidRDefault="00452C72" w:rsidP="00BF2A19">
            <w:pPr>
              <w:pStyle w:val="Tableaucourant"/>
              <w:jc w:val="left"/>
              <w:rPr>
                <w:b/>
                <w:bCs/>
                <w:sz w:val="20"/>
                <w:szCs w:val="20"/>
              </w:rPr>
            </w:pPr>
            <w:r w:rsidRPr="00CC486A">
              <w:rPr>
                <w:sz w:val="20"/>
                <w:szCs w:val="20"/>
              </w:rPr>
              <w:t xml:space="preserve">Les technologies utilisées dans le pays où l'organisation est implantée impactent les pratiques de management. Ainsi, les organisations qui évoluent dans un environnement où les dépenses publiques en R&amp;D sont importantes et où les innovations abondent vont profiter de ces avancées technologiques </w:t>
            </w:r>
            <w:r w:rsidR="00BF2A19">
              <w:rPr>
                <w:sz w:val="20"/>
                <w:szCs w:val="20"/>
              </w:rPr>
              <w:t>durant</w:t>
            </w:r>
            <w:r w:rsidRPr="00CC486A">
              <w:rPr>
                <w:sz w:val="20"/>
                <w:szCs w:val="20"/>
              </w:rPr>
              <w:t xml:space="preserve"> leur démarche stratégique.</w:t>
            </w:r>
          </w:p>
        </w:tc>
      </w:tr>
      <w:tr w:rsidR="00452C72" w:rsidRPr="00CC486A" w14:paraId="4B1F654F" w14:textId="77777777" w:rsidTr="00BF2A19">
        <w:trPr>
          <w:trHeight w:val="1304"/>
        </w:trPr>
        <w:tc>
          <w:tcPr>
            <w:tcW w:w="1814" w:type="dxa"/>
            <w:shd w:val="clear" w:color="auto" w:fill="F2F2F2" w:themeFill="background1" w:themeFillShade="F2"/>
            <w:vAlign w:val="center"/>
          </w:tcPr>
          <w:p w14:paraId="053A2B3C" w14:textId="77777777" w:rsidR="00452C72" w:rsidRPr="00BF2A19" w:rsidRDefault="00452C72" w:rsidP="00BF2A19">
            <w:pPr>
              <w:pStyle w:val="Tableaucourant"/>
              <w:jc w:val="center"/>
              <w:rPr>
                <w:b/>
                <w:bCs/>
                <w:sz w:val="20"/>
                <w:szCs w:val="20"/>
              </w:rPr>
            </w:pPr>
            <w:r w:rsidRPr="00BF2A19">
              <w:rPr>
                <w:b/>
                <w:bCs/>
                <w:sz w:val="20"/>
                <w:szCs w:val="20"/>
              </w:rPr>
              <w:t>Écologique</w:t>
            </w:r>
          </w:p>
        </w:tc>
        <w:tc>
          <w:tcPr>
            <w:tcW w:w="7258" w:type="dxa"/>
            <w:vAlign w:val="center"/>
          </w:tcPr>
          <w:p w14:paraId="23994CAE" w14:textId="20C127FF" w:rsidR="00452C72" w:rsidRPr="00CC486A" w:rsidRDefault="00452C72" w:rsidP="00BF2A19">
            <w:pPr>
              <w:pStyle w:val="Tableaucourant"/>
              <w:jc w:val="left"/>
              <w:rPr>
                <w:b/>
                <w:bCs/>
                <w:sz w:val="20"/>
                <w:szCs w:val="20"/>
              </w:rPr>
            </w:pPr>
            <w:r w:rsidRPr="00CC486A">
              <w:rPr>
                <w:sz w:val="20"/>
                <w:szCs w:val="20"/>
              </w:rPr>
              <w:t>Les mutations écologiques obligent les organisations à revoir leurs pratiques managériales</w:t>
            </w:r>
            <w:r w:rsidR="00F376BF" w:rsidRPr="00CC486A">
              <w:rPr>
                <w:sz w:val="20"/>
                <w:szCs w:val="20"/>
              </w:rPr>
              <w:t> </w:t>
            </w:r>
            <w:r w:rsidRPr="00CC486A">
              <w:rPr>
                <w:sz w:val="20"/>
                <w:szCs w:val="20"/>
              </w:rPr>
              <w:t>: démarche RSE, réduction des émissions de</w:t>
            </w:r>
            <w:r w:rsidR="00A43A94" w:rsidRPr="00CC486A">
              <w:rPr>
                <w:sz w:val="20"/>
                <w:szCs w:val="20"/>
              </w:rPr>
              <w:t xml:space="preserve"> CO</w:t>
            </w:r>
            <w:r w:rsidR="00A43A94" w:rsidRPr="00CC486A">
              <w:rPr>
                <w:sz w:val="20"/>
                <w:szCs w:val="20"/>
                <w:vertAlign w:val="subscript"/>
              </w:rPr>
              <w:t>2</w:t>
            </w:r>
            <w:r w:rsidRPr="00CC486A">
              <w:rPr>
                <w:sz w:val="20"/>
                <w:szCs w:val="20"/>
              </w:rPr>
              <w:t>, des dépenses énergétiques, des déchets et des emballages, recyclage, éco-conception… La montée des préoccupations écologiques est aussi à l'origine de la création et du développement d'organisations</w:t>
            </w:r>
            <w:r w:rsidR="00A43A94" w:rsidRPr="00CC486A">
              <w:rPr>
                <w:sz w:val="20"/>
                <w:szCs w:val="20"/>
              </w:rPr>
              <w:t>,</w:t>
            </w:r>
            <w:r w:rsidRPr="00CC486A">
              <w:rPr>
                <w:sz w:val="20"/>
                <w:szCs w:val="20"/>
              </w:rPr>
              <w:t xml:space="preserve"> notamment de la société civile.</w:t>
            </w:r>
          </w:p>
        </w:tc>
      </w:tr>
      <w:tr w:rsidR="00452C72" w:rsidRPr="00CC486A" w14:paraId="5D62A022" w14:textId="77777777" w:rsidTr="00BF2A19">
        <w:trPr>
          <w:trHeight w:val="1077"/>
        </w:trPr>
        <w:tc>
          <w:tcPr>
            <w:tcW w:w="1814" w:type="dxa"/>
            <w:shd w:val="clear" w:color="auto" w:fill="F2F2F2" w:themeFill="background1" w:themeFillShade="F2"/>
            <w:vAlign w:val="center"/>
          </w:tcPr>
          <w:p w14:paraId="0E7E6716" w14:textId="77777777" w:rsidR="00452C72" w:rsidRPr="00BF2A19" w:rsidRDefault="00452C72" w:rsidP="00BF2A19">
            <w:pPr>
              <w:pStyle w:val="Tableaucourant"/>
              <w:jc w:val="center"/>
              <w:rPr>
                <w:b/>
                <w:bCs/>
                <w:sz w:val="20"/>
                <w:szCs w:val="20"/>
              </w:rPr>
            </w:pPr>
            <w:r w:rsidRPr="00BF2A19">
              <w:rPr>
                <w:b/>
                <w:bCs/>
                <w:sz w:val="20"/>
                <w:szCs w:val="20"/>
              </w:rPr>
              <w:lastRenderedPageBreak/>
              <w:t>Légal</w:t>
            </w:r>
          </w:p>
        </w:tc>
        <w:tc>
          <w:tcPr>
            <w:tcW w:w="7258" w:type="dxa"/>
            <w:vAlign w:val="center"/>
          </w:tcPr>
          <w:p w14:paraId="2245733D" w14:textId="77777777" w:rsidR="00452C72" w:rsidRPr="00CC486A" w:rsidRDefault="00452C72" w:rsidP="00BF2A19">
            <w:pPr>
              <w:pStyle w:val="Tableaucourant"/>
              <w:jc w:val="left"/>
              <w:rPr>
                <w:b/>
                <w:bCs/>
                <w:sz w:val="20"/>
                <w:szCs w:val="20"/>
              </w:rPr>
            </w:pPr>
            <w:r w:rsidRPr="00CC486A">
              <w:rPr>
                <w:sz w:val="20"/>
                <w:szCs w:val="20"/>
              </w:rPr>
              <w:t>Le cadre légal qui entoure l'organisation impacte ses pratiques de management. Par exemple, le droit du travail et les réglementations en matière d’hygiène et de sécurité sont très différents entre la Chine et la France, donc les conditions de travail sont très différentes dans ces deux pays.</w:t>
            </w:r>
          </w:p>
        </w:tc>
      </w:tr>
    </w:tbl>
    <w:p w14:paraId="1F7EB7AB" w14:textId="77777777" w:rsidR="00452C72" w:rsidRPr="00906BB7" w:rsidRDefault="00F376BF" w:rsidP="00F376BF">
      <w:pPr>
        <w:pStyle w:val="04Exercicestitre"/>
      </w:pPr>
      <w:r>
        <w:t xml:space="preserve">3. </w:t>
      </w:r>
      <w:r w:rsidR="00452C72">
        <w:t>Comment le management répond-il aux transformations numériques et écologiques</w:t>
      </w:r>
      <w:r>
        <w:t> </w:t>
      </w:r>
      <w:r w:rsidR="00452C72">
        <w:t>?</w:t>
      </w:r>
    </w:p>
    <w:p w14:paraId="5B58F0D6" w14:textId="77777777" w:rsidR="00452C72" w:rsidRDefault="00452C72" w:rsidP="00F376BF">
      <w:pPr>
        <w:pStyle w:val="TTextecourant"/>
        <w:rPr>
          <w:b/>
        </w:rPr>
      </w:pPr>
      <w:r>
        <w:t>Notre société traverse actuellement une révolution numérique et des mutations écologiques, qui impactent les pratiques de management.</w:t>
      </w:r>
    </w:p>
    <w:p w14:paraId="57A6F967" w14:textId="2675E76C" w:rsidR="00452C72" w:rsidRDefault="00452C72" w:rsidP="00F376BF">
      <w:pPr>
        <w:pStyle w:val="TTextecourant"/>
      </w:pPr>
      <w:r>
        <w:t>La révolution numérique influe sur les conditions de travail dans l'organisation et sur les relations entre l'organisation et ses partenaires externes.</w:t>
      </w:r>
      <w:r w:rsidR="00A43A94">
        <w:t xml:space="preserve"> </w:t>
      </w:r>
      <w:r w:rsidRPr="005B7ACA">
        <w:t xml:space="preserve">Les transformations numériques </w:t>
      </w:r>
      <w:r>
        <w:t xml:space="preserve">présentent bien sûr des avantages pour les organisations, puisqu'elles leur </w:t>
      </w:r>
      <w:r w:rsidRPr="005B7ACA">
        <w:t xml:space="preserve">permettent de gagner </w:t>
      </w:r>
      <w:r>
        <w:t>du temps et de l'argent. En effet, l'utilisation d'Internet et des réseaux sociaux permet aux organisations d'être plus réactives. Elles recrutent (des salariés, des bénévoles, des adhérents, des électeurs…) plus rapidement et à moindre coût, et peuvent communiquer instantanément avec leurs parties prenantes internes et externes.</w:t>
      </w:r>
      <w:r w:rsidRPr="005B7ACA">
        <w:t xml:space="preserve"> </w:t>
      </w:r>
      <w:r>
        <w:t>De plus en plus d'entreprise</w:t>
      </w:r>
      <w:r w:rsidRPr="005B7ACA">
        <w:t xml:space="preserve">s </w:t>
      </w:r>
      <w:r>
        <w:t xml:space="preserve">mènent une stratégie </w:t>
      </w:r>
      <w:r w:rsidRPr="005B7ACA">
        <w:t>100</w:t>
      </w:r>
      <w:r w:rsidR="00F376BF">
        <w:t> %</w:t>
      </w:r>
      <w:r w:rsidRPr="005B7ACA">
        <w:t xml:space="preserve"> digitale</w:t>
      </w:r>
      <w:r>
        <w:t xml:space="preserve"> (</w:t>
      </w:r>
      <w:proofErr w:type="spellStart"/>
      <w:r>
        <w:t>AirBnB</w:t>
      </w:r>
      <w:proofErr w:type="spellEnd"/>
      <w:r>
        <w:t xml:space="preserve">, </w:t>
      </w:r>
      <w:proofErr w:type="spellStart"/>
      <w:r>
        <w:t>BlaBlacar</w:t>
      </w:r>
      <w:proofErr w:type="spellEnd"/>
      <w:r>
        <w:t>, Facebook, Google…) et</w:t>
      </w:r>
      <w:r w:rsidRPr="005B7ACA">
        <w:t xml:space="preserve"> évitent les coûts importants liés au réseau de magasins</w:t>
      </w:r>
      <w:r w:rsidR="002A4E94">
        <w:t xml:space="preserve"> </w:t>
      </w:r>
      <w:r w:rsidR="00A43A94">
        <w:t>(</w:t>
      </w:r>
      <w:r w:rsidRPr="005B7ACA">
        <w:t>location d’une surface de vente, achat du mobilier, recrutement et paiement des vendeurs…</w:t>
      </w:r>
      <w:r w:rsidR="00A43A94">
        <w:t>).</w:t>
      </w:r>
      <w:r w:rsidRPr="005B7ACA">
        <w:t xml:space="preserve"> </w:t>
      </w:r>
      <w:r>
        <w:t xml:space="preserve">De même, la digitalisation des services publics simplifie les démarches administratives et </w:t>
      </w:r>
      <w:r w:rsidR="00A43A94">
        <w:t>permet à l'</w:t>
      </w:r>
      <w:r w:rsidR="002A4E94">
        <w:t>É</w:t>
      </w:r>
      <w:r w:rsidR="00A43A94">
        <w:t xml:space="preserve">tat </w:t>
      </w:r>
      <w:r>
        <w:t>de faire des économies</w:t>
      </w:r>
      <w:r w:rsidR="00A43A94">
        <w:t>.</w:t>
      </w:r>
    </w:p>
    <w:p w14:paraId="3BBABFFB" w14:textId="3BA7EFAD" w:rsidR="00452C72" w:rsidRPr="00911DCE" w:rsidRDefault="00452C72" w:rsidP="00F376BF">
      <w:pPr>
        <w:pStyle w:val="TTextecourant"/>
        <w:rPr>
          <w:b/>
        </w:rPr>
      </w:pPr>
      <w:r>
        <w:t xml:space="preserve">Mais la </w:t>
      </w:r>
      <w:r w:rsidRPr="00911DCE">
        <w:t>digitalisation des activités est également porteuse de risques.</w:t>
      </w:r>
      <w:r>
        <w:t xml:space="preserve"> En effet, certaines activités sont menacées</w:t>
      </w:r>
      <w:r w:rsidR="00F376BF">
        <w:t> </w:t>
      </w:r>
      <w:r>
        <w:t>: les plateformes (</w:t>
      </w:r>
      <w:proofErr w:type="spellStart"/>
      <w:r>
        <w:t>AirBnB</w:t>
      </w:r>
      <w:proofErr w:type="spellEnd"/>
      <w:r>
        <w:t>, Uber…) concurrencent directement certains secteurs (hôtellerie, taxis…)</w:t>
      </w:r>
      <w:r w:rsidR="00A43A94">
        <w:t>.</w:t>
      </w:r>
      <w:r>
        <w:t xml:space="preserve"> </w:t>
      </w:r>
      <w:r w:rsidR="00A43A94">
        <w:t>L</w:t>
      </w:r>
      <w:r>
        <w:t>'industrie des services (secteur bancaire, télécommunications, tourisme…) propose de plus en plus d'offres digitales</w:t>
      </w:r>
      <w:r w:rsidR="00B93FA3">
        <w:t>,</w:t>
      </w:r>
      <w:r>
        <w:t xml:space="preserve"> donc ferme des boutiques et licencie</w:t>
      </w:r>
      <w:r w:rsidR="00A43A94">
        <w:t xml:space="preserve"> du personnel.</w:t>
      </w:r>
      <w:r>
        <w:t xml:space="preserve"> </w:t>
      </w:r>
      <w:r w:rsidR="00A43A94">
        <w:t>L</w:t>
      </w:r>
      <w:r>
        <w:t>e développement du e-commerce dans tous les secteurs amène à repenser le rôle des magasins et des vendeurs.</w:t>
      </w:r>
    </w:p>
    <w:p w14:paraId="36B61D41" w14:textId="77777777" w:rsidR="00BF2A19" w:rsidRDefault="00BF2A19" w:rsidP="00F376BF">
      <w:pPr>
        <w:pStyle w:val="TTextecourant"/>
      </w:pPr>
    </w:p>
    <w:p w14:paraId="3F7C2C2E" w14:textId="5857ADDF" w:rsidR="00452C72" w:rsidRDefault="00452C72" w:rsidP="00F376BF">
      <w:pPr>
        <w:pStyle w:val="TTextecourant"/>
        <w:rPr>
          <w:b/>
        </w:rPr>
      </w:pPr>
      <w:r>
        <w:t>D'autre part, l</w:t>
      </w:r>
      <w:r w:rsidRPr="00911DCE">
        <w:t>es</w:t>
      </w:r>
      <w:r>
        <w:t xml:space="preserve"> </w:t>
      </w:r>
      <w:r w:rsidRPr="00832252">
        <w:t>mutations écologiques</w:t>
      </w:r>
      <w:r>
        <w:t>, qui</w:t>
      </w:r>
      <w:r w:rsidRPr="00832252">
        <w:t xml:space="preserve"> désignent l’ensemble des changements écologiques (changement climatique, raréfaction des ressources naturelles</w:t>
      </w:r>
      <w:r>
        <w:t>, pollution</w:t>
      </w:r>
      <w:r w:rsidRPr="00832252">
        <w:t>…) qui représentent une menace pour la planète</w:t>
      </w:r>
      <w:r>
        <w:t xml:space="preserve">, </w:t>
      </w:r>
      <w:r w:rsidRPr="00911DCE">
        <w:t>modifie</w:t>
      </w:r>
      <w:r>
        <w:t>nt</w:t>
      </w:r>
      <w:r w:rsidRPr="00911DCE">
        <w:t xml:space="preserve"> les pratiques </w:t>
      </w:r>
      <w:r>
        <w:t>de management. Si certaines organisations les perçoivent comme une contrainte et modifient leurs pratiques uniquement pour rester en conformité avec la loi, d'autres au contraire les perçoivent comme une opportunité et prennent</w:t>
      </w:r>
      <w:r w:rsidRPr="00911DCE">
        <w:t xml:space="preserve"> des initiatives au-delà des normes imposées pour préserver l’environnement.</w:t>
      </w:r>
    </w:p>
    <w:p w14:paraId="19B7B78E" w14:textId="75701F34" w:rsidR="00452C72" w:rsidRPr="006C0C7D" w:rsidRDefault="00452C72" w:rsidP="00F376BF">
      <w:pPr>
        <w:pStyle w:val="TTextecourant"/>
        <w:rPr>
          <w:b/>
        </w:rPr>
      </w:pPr>
      <w:r>
        <w:t>Les organisations publiques tiennent compte des transformations écologiques en proposant aux citoyens des services visant à préserver l'environnement</w:t>
      </w:r>
      <w:r w:rsidR="00F376BF">
        <w:t> </w:t>
      </w:r>
      <w:r>
        <w:t xml:space="preserve">: compostage, tri, collecte et recyclage des déchets, transports publics… </w:t>
      </w:r>
      <w:r w:rsidR="00A43A94">
        <w:t>L</w:t>
      </w:r>
      <w:r>
        <w:t>'</w:t>
      </w:r>
      <w:r w:rsidR="00B93FA3">
        <w:t>É</w:t>
      </w:r>
      <w:r>
        <w:t xml:space="preserve">tat impose </w:t>
      </w:r>
      <w:r w:rsidR="00A43A94">
        <w:t>également d</w:t>
      </w:r>
      <w:r>
        <w:t xml:space="preserve">es lois et </w:t>
      </w:r>
      <w:r w:rsidR="00A43A94">
        <w:t>d</w:t>
      </w:r>
      <w:r>
        <w:t>es taxes en matière de protection de l'environnement.</w:t>
      </w:r>
    </w:p>
    <w:p w14:paraId="544E9FE9" w14:textId="77777777" w:rsidR="00BF2A19" w:rsidRDefault="00BF2A19" w:rsidP="00F376BF">
      <w:pPr>
        <w:pStyle w:val="TTextecourant"/>
      </w:pPr>
    </w:p>
    <w:p w14:paraId="38098A11" w14:textId="038D06E8" w:rsidR="00452C72" w:rsidRDefault="00452C72" w:rsidP="00F376BF">
      <w:pPr>
        <w:pStyle w:val="TTextecourant"/>
        <w:rPr>
          <w:b/>
        </w:rPr>
      </w:pPr>
      <w:r w:rsidRPr="009024ED">
        <w:t>La responsabilité sociétale des entreprises</w:t>
      </w:r>
      <w:r>
        <w:t xml:space="preserve"> </w:t>
      </w:r>
      <w:r w:rsidRPr="009024ED">
        <w:t>(RSE) est l’une des réponses des entreprises</w:t>
      </w:r>
      <w:r>
        <w:t xml:space="preserve"> </w:t>
      </w:r>
      <w:r w:rsidRPr="009024ED">
        <w:t>aux mutations écologiques</w:t>
      </w:r>
      <w:r>
        <w:t xml:space="preserve">. </w:t>
      </w:r>
      <w:r w:rsidRPr="00095DA2">
        <w:t>La RSE désigne les pratiques mises en place par les entreprises pour</w:t>
      </w:r>
      <w:r>
        <w:t xml:space="preserve"> </w:t>
      </w:r>
      <w:r w:rsidRPr="00095DA2">
        <w:t>limiter leurs effets négatifs sur la société et respecter les principes du développement durable.</w:t>
      </w:r>
      <w:r>
        <w:t xml:space="preserve"> Pour limiter leur impact écologique, les entreprises doivent réfléchir à leur activité de manière globale, de l'amont à l'aval. Elles peuvent par exemple utiliser des </w:t>
      </w:r>
      <w:r w:rsidRPr="00212EF3">
        <w:t>matières premières</w:t>
      </w:r>
      <w:r>
        <w:t xml:space="preserve"> naturelles</w:t>
      </w:r>
      <w:r w:rsidRPr="00212EF3">
        <w:t>,</w:t>
      </w:r>
      <w:r>
        <w:t xml:space="preserve"> supprimer les emballages, limiter les </w:t>
      </w:r>
      <w:r w:rsidRPr="00212EF3">
        <w:t>transport</w:t>
      </w:r>
      <w:r>
        <w:t>s en travaillant avec des partenaires locaux</w:t>
      </w:r>
      <w:r w:rsidRPr="00212EF3">
        <w:t>,</w:t>
      </w:r>
      <w:r>
        <w:t xml:space="preserve"> et recycler leurs déchets, invendus et produits en fin de vie</w:t>
      </w:r>
      <w:r w:rsidRPr="00212EF3">
        <w:t>.</w:t>
      </w:r>
    </w:p>
    <w:p w14:paraId="610292F4" w14:textId="77777777" w:rsidR="00806FB8" w:rsidRPr="00F376BF" w:rsidRDefault="00452C72" w:rsidP="00F376BF">
      <w:pPr>
        <w:pStyle w:val="TTextecourant"/>
        <w:rPr>
          <w:b/>
        </w:rPr>
      </w:pPr>
      <w:r>
        <w:t>De nombreuses organisations de la société civile, associations ou fondations, ont pour finalité de préserver l'environnement. Les mutations écologiques sont donc à l'origine de leur création, de leur développement et de tous leurs choix stratégiques et opérationnels.</w:t>
      </w:r>
    </w:p>
    <w:sectPr w:rsidR="00806FB8" w:rsidRPr="00F376BF" w:rsidSect="00F87FA5">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217C" w14:textId="77777777" w:rsidR="009F6032" w:rsidRDefault="009F6032" w:rsidP="004016EA">
      <w:r>
        <w:separator/>
      </w:r>
    </w:p>
  </w:endnote>
  <w:endnote w:type="continuationSeparator" w:id="0">
    <w:p w14:paraId="7A1B6694" w14:textId="77777777" w:rsidR="009F6032" w:rsidRDefault="009F6032"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ide Pedago Times">
    <w:altName w:val="Cambria"/>
    <w:panose1 w:val="00000000000000000000"/>
    <w:charset w:val="00"/>
    <w:family w:val="modern"/>
    <w:notTrueType/>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mbria"/>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6E2C" w14:textId="77777777" w:rsidR="008627EC" w:rsidRPr="004016EA" w:rsidRDefault="008627EC" w:rsidP="007C4DF0">
    <w:pPr>
      <w:pStyle w:val="Pieddepagegauche"/>
      <w:tabs>
        <w:tab w:val="clear" w:pos="7340"/>
        <w:tab w:val="right" w:pos="10206"/>
      </w:tabs>
      <w:rPr>
        <w:w w:val="100"/>
      </w:rPr>
    </w:pPr>
    <w:r>
      <w:rPr>
        <w:rStyle w:val="Folio"/>
        <w:b/>
        <w:bCs/>
      </w:rPr>
      <w:fldChar w:fldCharType="begin"/>
    </w:r>
    <w:r>
      <w:rPr>
        <w:rStyle w:val="Folio"/>
        <w:b/>
        <w:bCs/>
      </w:rPr>
      <w:instrText xml:space="preserve"> PAGE </w:instrText>
    </w:r>
    <w:r>
      <w:rPr>
        <w:rStyle w:val="Folio"/>
        <w:b/>
        <w:bCs/>
      </w:rPr>
      <w:fldChar w:fldCharType="separate"/>
    </w:r>
    <w:r>
      <w:rPr>
        <w:rStyle w:val="Folio"/>
        <w:b/>
        <w:bCs/>
        <w:noProof/>
      </w:rPr>
      <w:t>8</w:t>
    </w:r>
    <w:r>
      <w:rPr>
        <w:rStyle w:val="Folio"/>
        <w:b/>
        <w:bCs/>
      </w:rPr>
      <w:fldChar w:fldCharType="end"/>
    </w:r>
    <w:r>
      <w:rPr>
        <w:rStyle w:val="Folio"/>
        <w:b/>
        <w:bCs/>
      </w:rPr>
      <w:t xml:space="preserve"> </w:t>
    </w:r>
    <w:r>
      <w:rPr>
        <w:w w:val="100"/>
      </w:rPr>
      <w:tab/>
    </w:r>
    <w:r w:rsidRPr="008E3CCE">
      <w:rPr>
        <w:w w:val="100"/>
      </w:rPr>
      <w:t>Thème 1 À la rencontre du management des organisations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8A84" w14:textId="77777777" w:rsidR="008627EC" w:rsidRDefault="008627EC" w:rsidP="00C20988">
    <w:pPr>
      <w:pStyle w:val="Pieddepagedroite"/>
    </w:pPr>
    <w:r>
      <w:rPr>
        <w:rStyle w:val="Bold"/>
      </w:rPr>
      <w:t>Chapitre 6</w:t>
    </w:r>
    <w:r>
      <w:t xml:space="preserve">– </w:t>
    </w:r>
    <w:r w:rsidRPr="00BC64F2">
      <w:t>L’i</w:t>
    </w:r>
    <w:r>
      <w:t>nfluence de l’environnement sur le management des organisations</w:t>
    </w:r>
    <w:r>
      <w:tab/>
    </w:r>
    <w:r>
      <w:rPr>
        <w:rStyle w:val="Folio"/>
      </w:rPr>
      <w:fldChar w:fldCharType="begin"/>
    </w:r>
    <w:r>
      <w:rPr>
        <w:rStyle w:val="Folio"/>
      </w:rPr>
      <w:instrText xml:space="preserve"> PAGE </w:instrText>
    </w:r>
    <w:r>
      <w:rPr>
        <w:rStyle w:val="Folio"/>
      </w:rPr>
      <w:fldChar w:fldCharType="separate"/>
    </w:r>
    <w:r>
      <w:rPr>
        <w:rStyle w:val="Folio"/>
        <w:noProof/>
      </w:rPr>
      <w:t>7</w:t>
    </w:r>
    <w:r>
      <w:rPr>
        <w:rStyle w:val="Folio"/>
      </w:rPr>
      <w:fldChar w:fldCharType="end"/>
    </w:r>
    <w:r>
      <w:rPr>
        <w:rStyle w:val="Foli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797A" w14:textId="77777777" w:rsidR="008627EC" w:rsidRDefault="008627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94BA" w14:textId="77777777" w:rsidR="009F6032" w:rsidRDefault="009F6032" w:rsidP="004016EA">
      <w:r>
        <w:separator/>
      </w:r>
    </w:p>
  </w:footnote>
  <w:footnote w:type="continuationSeparator" w:id="0">
    <w:p w14:paraId="519AAD22" w14:textId="77777777" w:rsidR="009F6032" w:rsidRDefault="009F6032" w:rsidP="0040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D99C" w14:textId="77777777" w:rsidR="008627EC" w:rsidRDefault="008627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098D" w14:textId="77777777" w:rsidR="008627EC" w:rsidRDefault="008627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D516" w14:textId="77777777" w:rsidR="008627EC" w:rsidRDefault="008627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159E6"/>
    <w:multiLevelType w:val="hybridMultilevel"/>
    <w:tmpl w:val="15861E74"/>
    <w:lvl w:ilvl="0" w:tplc="59AA548C">
      <w:start w:val="2"/>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74E6F"/>
    <w:multiLevelType w:val="hybridMultilevel"/>
    <w:tmpl w:val="0D608030"/>
    <w:lvl w:ilvl="0" w:tplc="8BC206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8524C"/>
    <w:multiLevelType w:val="hybridMultilevel"/>
    <w:tmpl w:val="01AC6F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B87BF7"/>
    <w:multiLevelType w:val="hybridMultilevel"/>
    <w:tmpl w:val="B76C52B8"/>
    <w:lvl w:ilvl="0" w:tplc="DF3EF4B4">
      <w:start w:val="1"/>
      <w:numFmt w:val="decimal"/>
      <w:pStyle w:val="09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B83952"/>
    <w:multiLevelType w:val="hybridMultilevel"/>
    <w:tmpl w:val="98BE3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5262B7"/>
    <w:multiLevelType w:val="hybridMultilevel"/>
    <w:tmpl w:val="95742360"/>
    <w:lvl w:ilvl="0" w:tplc="9D38F81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BA54DB"/>
    <w:multiLevelType w:val="hybridMultilevel"/>
    <w:tmpl w:val="2636613E"/>
    <w:lvl w:ilvl="0" w:tplc="832CD0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D90029"/>
    <w:multiLevelType w:val="hybridMultilevel"/>
    <w:tmpl w:val="8ED4C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9"/>
  </w:num>
  <w:num w:numId="5">
    <w:abstractNumId w:val="22"/>
  </w:num>
  <w:num w:numId="6">
    <w:abstractNumId w:val="33"/>
  </w:num>
  <w:num w:numId="7">
    <w:abstractNumId w:val="14"/>
  </w:num>
  <w:num w:numId="8">
    <w:abstractNumId w:val="34"/>
  </w:num>
  <w:num w:numId="9">
    <w:abstractNumId w:val="31"/>
  </w:num>
  <w:num w:numId="10">
    <w:abstractNumId w:val="35"/>
  </w:num>
  <w:num w:numId="11">
    <w:abstractNumId w:val="11"/>
  </w:num>
  <w:num w:numId="12">
    <w:abstractNumId w:val="28"/>
  </w:num>
  <w:num w:numId="13">
    <w:abstractNumId w:val="26"/>
  </w:num>
  <w:num w:numId="14">
    <w:abstractNumId w:val="24"/>
  </w:num>
  <w:num w:numId="15">
    <w:abstractNumId w:val="16"/>
  </w:num>
  <w:num w:numId="16">
    <w:abstractNumId w:val="20"/>
  </w:num>
  <w:num w:numId="17">
    <w:abstractNumId w:val="9"/>
  </w:num>
  <w:num w:numId="18">
    <w:abstractNumId w:val="30"/>
  </w:num>
  <w:num w:numId="19">
    <w:abstractNumId w:val="12"/>
  </w:num>
  <w:num w:numId="20">
    <w:abstractNumId w:val="1"/>
  </w:num>
  <w:num w:numId="21">
    <w:abstractNumId w:val="6"/>
  </w:num>
  <w:num w:numId="22">
    <w:abstractNumId w:val="13"/>
  </w:num>
  <w:num w:numId="23">
    <w:abstractNumId w:val="15"/>
  </w:num>
  <w:num w:numId="24">
    <w:abstractNumId w:val="25"/>
  </w:num>
  <w:num w:numId="25">
    <w:abstractNumId w:val="23"/>
  </w:num>
  <w:num w:numId="26">
    <w:abstractNumId w:val="0"/>
  </w:num>
  <w:num w:numId="27">
    <w:abstractNumId w:val="10"/>
  </w:num>
  <w:num w:numId="28">
    <w:abstractNumId w:val="29"/>
  </w:num>
  <w:num w:numId="29">
    <w:abstractNumId w:val="21"/>
  </w:num>
  <w:num w:numId="30">
    <w:abstractNumId w:val="4"/>
  </w:num>
  <w:num w:numId="31">
    <w:abstractNumId w:val="17"/>
  </w:num>
  <w:num w:numId="32">
    <w:abstractNumId w:val="8"/>
  </w:num>
  <w:num w:numId="33">
    <w:abstractNumId w:val="18"/>
  </w:num>
  <w:num w:numId="34">
    <w:abstractNumId w:val="32"/>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1032D"/>
    <w:rsid w:val="000200B9"/>
    <w:rsid w:val="00051CC9"/>
    <w:rsid w:val="00054C34"/>
    <w:rsid w:val="00080579"/>
    <w:rsid w:val="00090B67"/>
    <w:rsid w:val="000A2F9F"/>
    <w:rsid w:val="000A31BA"/>
    <w:rsid w:val="000A66E0"/>
    <w:rsid w:val="000D0447"/>
    <w:rsid w:val="000D3F6F"/>
    <w:rsid w:val="000D4995"/>
    <w:rsid w:val="000D4DA8"/>
    <w:rsid w:val="00143540"/>
    <w:rsid w:val="00151A6E"/>
    <w:rsid w:val="0018183D"/>
    <w:rsid w:val="001A0B80"/>
    <w:rsid w:val="001A5C69"/>
    <w:rsid w:val="001F747E"/>
    <w:rsid w:val="00236737"/>
    <w:rsid w:val="0024646B"/>
    <w:rsid w:val="00257766"/>
    <w:rsid w:val="00260994"/>
    <w:rsid w:val="00297313"/>
    <w:rsid w:val="002A4E94"/>
    <w:rsid w:val="002D25EC"/>
    <w:rsid w:val="0030498C"/>
    <w:rsid w:val="00324F73"/>
    <w:rsid w:val="00340A09"/>
    <w:rsid w:val="003519D9"/>
    <w:rsid w:val="00394FED"/>
    <w:rsid w:val="00396A19"/>
    <w:rsid w:val="003A6641"/>
    <w:rsid w:val="004016EA"/>
    <w:rsid w:val="00404761"/>
    <w:rsid w:val="00427E73"/>
    <w:rsid w:val="00452C72"/>
    <w:rsid w:val="004A1FB0"/>
    <w:rsid w:val="004C401C"/>
    <w:rsid w:val="004C6307"/>
    <w:rsid w:val="004E20A9"/>
    <w:rsid w:val="004E2AD9"/>
    <w:rsid w:val="00540A1A"/>
    <w:rsid w:val="005A654B"/>
    <w:rsid w:val="005C0E67"/>
    <w:rsid w:val="00677DA2"/>
    <w:rsid w:val="006A11E5"/>
    <w:rsid w:val="006A41BF"/>
    <w:rsid w:val="006B172B"/>
    <w:rsid w:val="006B7D00"/>
    <w:rsid w:val="006C0120"/>
    <w:rsid w:val="006C485F"/>
    <w:rsid w:val="006F11AD"/>
    <w:rsid w:val="00703925"/>
    <w:rsid w:val="00722537"/>
    <w:rsid w:val="00741571"/>
    <w:rsid w:val="00757BA2"/>
    <w:rsid w:val="007704FE"/>
    <w:rsid w:val="007763D4"/>
    <w:rsid w:val="00781079"/>
    <w:rsid w:val="0079080C"/>
    <w:rsid w:val="007C47C8"/>
    <w:rsid w:val="007C4DF0"/>
    <w:rsid w:val="007F2001"/>
    <w:rsid w:val="00806FB8"/>
    <w:rsid w:val="0080753E"/>
    <w:rsid w:val="00810809"/>
    <w:rsid w:val="0081465D"/>
    <w:rsid w:val="008554DD"/>
    <w:rsid w:val="008627EC"/>
    <w:rsid w:val="008E3CCE"/>
    <w:rsid w:val="008F3F9B"/>
    <w:rsid w:val="009215F2"/>
    <w:rsid w:val="009C3943"/>
    <w:rsid w:val="009C7BAC"/>
    <w:rsid w:val="009F6032"/>
    <w:rsid w:val="009F7671"/>
    <w:rsid w:val="00A16857"/>
    <w:rsid w:val="00A3158C"/>
    <w:rsid w:val="00A43A94"/>
    <w:rsid w:val="00A43C49"/>
    <w:rsid w:val="00A63EBB"/>
    <w:rsid w:val="00A668CD"/>
    <w:rsid w:val="00A75E05"/>
    <w:rsid w:val="00AA463F"/>
    <w:rsid w:val="00AA4FF6"/>
    <w:rsid w:val="00AB4620"/>
    <w:rsid w:val="00AB757A"/>
    <w:rsid w:val="00AD6532"/>
    <w:rsid w:val="00AF41DF"/>
    <w:rsid w:val="00B3166D"/>
    <w:rsid w:val="00B349F3"/>
    <w:rsid w:val="00B53202"/>
    <w:rsid w:val="00B7643E"/>
    <w:rsid w:val="00B81F3B"/>
    <w:rsid w:val="00B93FA3"/>
    <w:rsid w:val="00BD34C9"/>
    <w:rsid w:val="00BD374E"/>
    <w:rsid w:val="00BE24B4"/>
    <w:rsid w:val="00BE55E0"/>
    <w:rsid w:val="00BE5CB2"/>
    <w:rsid w:val="00BF2A19"/>
    <w:rsid w:val="00BF47D4"/>
    <w:rsid w:val="00C02E8D"/>
    <w:rsid w:val="00C04655"/>
    <w:rsid w:val="00C20988"/>
    <w:rsid w:val="00C37BCE"/>
    <w:rsid w:val="00CB3368"/>
    <w:rsid w:val="00CB627D"/>
    <w:rsid w:val="00CC486A"/>
    <w:rsid w:val="00CE6CEF"/>
    <w:rsid w:val="00CF04A9"/>
    <w:rsid w:val="00CF17D4"/>
    <w:rsid w:val="00CF21A7"/>
    <w:rsid w:val="00D10AB9"/>
    <w:rsid w:val="00D1160A"/>
    <w:rsid w:val="00DE3097"/>
    <w:rsid w:val="00E756FA"/>
    <w:rsid w:val="00EC3004"/>
    <w:rsid w:val="00EC6C2A"/>
    <w:rsid w:val="00EE26B7"/>
    <w:rsid w:val="00EE3A58"/>
    <w:rsid w:val="00F030C4"/>
    <w:rsid w:val="00F0470C"/>
    <w:rsid w:val="00F376BF"/>
    <w:rsid w:val="00F45FE9"/>
    <w:rsid w:val="00F5451A"/>
    <w:rsid w:val="00F74F45"/>
    <w:rsid w:val="00F80B95"/>
    <w:rsid w:val="00F87FA5"/>
    <w:rsid w:val="00FD274E"/>
    <w:rsid w:val="00FE1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3FAD3"/>
  <w15:docId w15:val="{2A97DCF1-AE9F-4FB2-BAB0-A4A52515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clear" w:pos="113"/>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3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paragraph" w:customStyle="1" w:styleId="07Textecourant">
    <w:name w:val="07_Texte_courant"/>
    <w:basedOn w:val="Normal"/>
    <w:link w:val="07TextecourantCar"/>
    <w:uiPriority w:val="99"/>
    <w:rsid w:val="00452C72"/>
    <w:pPr>
      <w:widowControl w:val="0"/>
      <w:autoSpaceDE w:val="0"/>
      <w:autoSpaceDN w:val="0"/>
      <w:adjustRightInd w:val="0"/>
      <w:spacing w:line="260" w:lineRule="atLeast"/>
      <w:jc w:val="both"/>
      <w:textAlignment w:val="center"/>
    </w:pPr>
    <w:rPr>
      <w:rFonts w:ascii="GuidePedagoTimes" w:hAnsi="GuidePedagoTimes" w:cs="GuidePedagoTimes"/>
      <w:color w:val="000000"/>
    </w:rPr>
  </w:style>
  <w:style w:type="paragraph" w:customStyle="1" w:styleId="13Tableaucourant">
    <w:name w:val="13_Tableau_courant"/>
    <w:basedOn w:val="Normal"/>
    <w:uiPriority w:val="99"/>
    <w:rsid w:val="00452C72"/>
    <w:pPr>
      <w:widowControl w:val="0"/>
      <w:autoSpaceDE w:val="0"/>
      <w:autoSpaceDN w:val="0"/>
      <w:adjustRightInd w:val="0"/>
      <w:spacing w:line="180" w:lineRule="atLeast"/>
      <w:jc w:val="both"/>
      <w:textAlignment w:val="center"/>
    </w:pPr>
    <w:rPr>
      <w:rFonts w:ascii="GuidePedagoNCond" w:hAnsi="GuidePedagoNCond" w:cs="GuidePedagoNCond"/>
      <w:color w:val="000000"/>
      <w:sz w:val="16"/>
      <w:szCs w:val="16"/>
    </w:rPr>
  </w:style>
  <w:style w:type="paragraph" w:customStyle="1" w:styleId="08InterSynthse">
    <w:name w:val="08_Inter_Synthèse"/>
    <w:basedOn w:val="07Textecourant"/>
    <w:link w:val="08InterSynthseCar"/>
    <w:rsid w:val="00452C72"/>
    <w:pPr>
      <w:spacing w:before="120"/>
    </w:pPr>
    <w:rPr>
      <w:rFonts w:ascii="Guide Pedago NCond" w:hAnsi="Guide Pedago NCond"/>
      <w:b/>
    </w:rPr>
  </w:style>
  <w:style w:type="character" w:customStyle="1" w:styleId="07TextecourantCar">
    <w:name w:val="07_Texte_courant Car"/>
    <w:link w:val="07Textecourant"/>
    <w:uiPriority w:val="99"/>
    <w:rsid w:val="00452C72"/>
    <w:rPr>
      <w:rFonts w:ascii="GuidePedagoTimes" w:hAnsi="GuidePedagoTimes" w:cs="GuidePedagoTimes"/>
      <w:color w:val="000000"/>
      <w:sz w:val="24"/>
      <w:szCs w:val="24"/>
    </w:rPr>
  </w:style>
  <w:style w:type="character" w:customStyle="1" w:styleId="08InterSynthseCar">
    <w:name w:val="08_Inter_Synthèse Car"/>
    <w:link w:val="08InterSynthse"/>
    <w:rsid w:val="00452C72"/>
    <w:rPr>
      <w:rFonts w:ascii="Guide Pedago NCond" w:hAnsi="Guide Pedago NCond" w:cs="GuidePedagoTimes"/>
      <w:b/>
      <w:color w:val="000000"/>
      <w:sz w:val="24"/>
      <w:szCs w:val="24"/>
    </w:rPr>
  </w:style>
  <w:style w:type="paragraph" w:customStyle="1" w:styleId="01CorrigSynthse">
    <w:name w:val="01_Corrigé_Synthèse"/>
    <w:basedOn w:val="02Programmetitre"/>
    <w:link w:val="01CorrigSynthseCar"/>
    <w:qFormat/>
    <w:rsid w:val="00452C72"/>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452C72"/>
    <w:rPr>
      <w:rFonts w:ascii="GuidePedagoNCond" w:hAnsi="GuidePedagoNCond" w:cs="GuidePedagoNCond"/>
      <w:caps/>
      <w:color w:val="000000"/>
      <w:sz w:val="19"/>
      <w:szCs w:val="19"/>
    </w:rPr>
  </w:style>
  <w:style w:type="character" w:customStyle="1" w:styleId="01CorrigSynthseCar">
    <w:name w:val="01_Corrigé_Synthèse Car"/>
    <w:link w:val="01CorrigSynthse"/>
    <w:rsid w:val="00452C72"/>
    <w:rPr>
      <w:rFonts w:ascii="GuidePedagoNCond" w:hAnsi="GuidePedagoNCond" w:cs="GuidePedagoNCond"/>
      <w:b/>
      <w:caps/>
      <w:color w:val="000000"/>
      <w:sz w:val="32"/>
      <w:szCs w:val="32"/>
    </w:rPr>
  </w:style>
  <w:style w:type="paragraph" w:customStyle="1" w:styleId="04Niveau1">
    <w:name w:val="04_Niveau_1"/>
    <w:basedOn w:val="Normal"/>
    <w:next w:val="07Textecourant"/>
    <w:uiPriority w:val="99"/>
    <w:rsid w:val="00452C72"/>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character" w:customStyle="1" w:styleId="01Chapnum">
    <w:name w:val="01_Chap_num"/>
    <w:uiPriority w:val="99"/>
    <w:rsid w:val="00452C72"/>
    <w:rPr>
      <w:rFonts w:ascii="GuidePedagoNCond-Bold" w:hAnsi="GuidePedagoNCond-Bold"/>
      <w:b/>
      <w:color w:val="000000"/>
      <w:spacing w:val="0"/>
      <w:sz w:val="100"/>
      <w:lang w:val="fr-FR"/>
    </w:rPr>
  </w:style>
  <w:style w:type="paragraph" w:customStyle="1" w:styleId="09Titre1">
    <w:name w:val="09_Titre 1"/>
    <w:basedOn w:val="Titre1"/>
    <w:link w:val="09Titre1Car"/>
    <w:qFormat/>
    <w:rsid w:val="00452C72"/>
    <w:pPr>
      <w:numPr>
        <w:numId w:val="31"/>
      </w:numPr>
      <w:spacing w:before="120" w:line="276" w:lineRule="auto"/>
      <w:jc w:val="both"/>
    </w:pPr>
    <w:rPr>
      <w:rFonts w:ascii="Cambria" w:hAnsi="Cambria"/>
      <w:b/>
      <w:bCs/>
      <w:color w:val="365F91"/>
      <w:sz w:val="28"/>
      <w:szCs w:val="28"/>
      <w:lang w:val="fr-FR" w:eastAsia="en-US"/>
    </w:rPr>
  </w:style>
  <w:style w:type="character" w:customStyle="1" w:styleId="09Titre1Car">
    <w:name w:val="09_Titre 1 Car"/>
    <w:basedOn w:val="Policepardfaut"/>
    <w:link w:val="09Titre1"/>
    <w:rsid w:val="00452C72"/>
    <w:rPr>
      <w:rFonts w:ascii="Cambria" w:hAnsi="Cambria"/>
      <w:b/>
      <w:bCs/>
      <w:color w:val="365F91"/>
      <w:sz w:val="28"/>
      <w:szCs w:val="28"/>
      <w:lang w:eastAsia="en-US"/>
    </w:rPr>
  </w:style>
  <w:style w:type="table" w:customStyle="1" w:styleId="Tableau1repage1">
    <w:name w:val="Tableau 1re page1"/>
    <w:basedOn w:val="TableauNormal"/>
    <w:next w:val="Grilledutableau"/>
    <w:uiPriority w:val="59"/>
    <w:rsid w:val="00BD374E"/>
    <w:pPr>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03575">
      <w:bodyDiv w:val="1"/>
      <w:marLeft w:val="0"/>
      <w:marRight w:val="0"/>
      <w:marTop w:val="0"/>
      <w:marBottom w:val="0"/>
      <w:divBdr>
        <w:top w:val="none" w:sz="0" w:space="0" w:color="auto"/>
        <w:left w:val="none" w:sz="0" w:space="0" w:color="auto"/>
        <w:bottom w:val="none" w:sz="0" w:space="0" w:color="auto"/>
        <w:right w:val="none" w:sz="0" w:space="0" w:color="auto"/>
      </w:divBdr>
    </w:div>
    <w:div w:id="673412280">
      <w:bodyDiv w:val="1"/>
      <w:marLeft w:val="0"/>
      <w:marRight w:val="0"/>
      <w:marTop w:val="0"/>
      <w:marBottom w:val="0"/>
      <w:divBdr>
        <w:top w:val="none" w:sz="0" w:space="0" w:color="auto"/>
        <w:left w:val="none" w:sz="0" w:space="0" w:color="auto"/>
        <w:bottom w:val="none" w:sz="0" w:space="0" w:color="auto"/>
        <w:right w:val="none" w:sz="0" w:space="0" w:color="auto"/>
      </w:divBdr>
    </w:div>
    <w:div w:id="19900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E0A4-0AAB-475B-8C3B-7203FECC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8</TotalTime>
  <Pages>3</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4</cp:revision>
  <cp:lastPrinted>2011-10-07T12:04:00Z</cp:lastPrinted>
  <dcterms:created xsi:type="dcterms:W3CDTF">2021-05-26T15:25:00Z</dcterms:created>
  <dcterms:modified xsi:type="dcterms:W3CDTF">2021-05-31T17:26:00Z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Foucher_StyleGP_1" visible="true" label="TemplateProject.MacrosMenuGP.Foucher_StyleGP" onAction="Foucher_StyleGP" imageMso="AppointmentColor1"/>
      </mso:documentControls>
    </mso:qat>
  </mso:ribbon>
</mso:customUI>
</file>