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CCFC" w14:textId="77777777" w:rsidR="003A7F1A" w:rsidRDefault="003A7F1A" w:rsidP="00136335">
      <w:pPr>
        <w:rPr>
          <w:rFonts w:cstheme="minorBidi"/>
          <w:b/>
        </w:rPr>
      </w:pPr>
    </w:p>
    <w:p w14:paraId="721D81AD" w14:textId="22F61A83" w:rsidR="00136335" w:rsidRDefault="0008208B" w:rsidP="00136335">
      <w:pPr>
        <w:rPr>
          <w:rFonts w:cstheme="minorBidi"/>
          <w:b/>
        </w:rPr>
      </w:pPr>
      <w:bookmarkStart w:id="0" w:name="_GoBack"/>
      <w:bookmarkEnd w:id="0"/>
      <w:r>
        <w:rPr>
          <w:noProof/>
          <w:lang w:eastAsia="fr-FR"/>
        </w:rPr>
        <w:pict w14:anchorId="2FFB9C6D">
          <v:group id="_x0000_s1035" style="position:absolute;left:0;text-align:left;margin-left:0;margin-top:0;width:453.6pt;height:84.65pt;z-index:251666432;mso-position-horizontal:center;mso-position-horizontal-relative:margin;mso-position-vertical:top;mso-position-vertical-relative:margin" coordorigin="1417,1417" coordsize="9072,1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44;top:1417;width:5645;height:1693;mso-position-horizontal:right;mso-position-horizontal-relative:margin;mso-position-vertical:top;mso-position-vertical-relative:margin">
              <v:imagedata r:id="rId7" o:title="gestion-finance"/>
            </v:shape>
            <v:group id="_x0000_s1034" style="position:absolute;left:1417;top:1574;width:3076;height:1379" coordorigin="1417,1424" coordsize="3076,1379">
              <v:shape id="_x0000_s1032" type="#_x0000_t75" style="position:absolute;left:1417;top:1424;width:3076;height:852;mso-position-horizontal:left;mso-position-horizontal-relative:margin;mso-position-vertical:top;mso-position-vertical-relative:margin">
                <v:imagedata r:id="rId8" o:title="essentiel"/>
              </v:shape>
              <v:shape id="_x0000_s1033" type="#_x0000_t75" style="position:absolute;left:2025;top:2236;width:1859;height:567;mso-position-horizontal-relative:text;mso-position-vertical-relative:text;mso-width-relative:page;mso-height-relative:page">
                <v:imagedata r:id="rId9" o:title="tle"/>
              </v:shape>
            </v:group>
            <w10:wrap type="square" anchorx="margin" anchory="margin"/>
          </v:group>
        </w:pict>
      </w:r>
    </w:p>
    <w:p w14:paraId="09B6A659" w14:textId="51E57203" w:rsidR="00DF015E" w:rsidRPr="002B7CBF" w:rsidRDefault="00DF015E" w:rsidP="00DF015E">
      <w:pPr>
        <w:pStyle w:val="Titre1"/>
        <w:jc w:val="left"/>
        <w:rPr>
          <w:rFonts w:hint="eastAsia"/>
        </w:rPr>
      </w:pPr>
      <w:r w:rsidRPr="00DF015E">
        <w:t>Chapitre 13</w:t>
      </w:r>
      <w:r>
        <w:t xml:space="preserve"> : </w:t>
      </w:r>
      <w:r w:rsidRPr="002B7CBF">
        <w:t>L</w:t>
      </w:r>
      <w:r>
        <w:t>’</w:t>
      </w:r>
      <w:r w:rsidRPr="002B7CBF">
        <w:t>arbitrage entre différentes modalités de financement</w:t>
      </w:r>
    </w:p>
    <w:p w14:paraId="3F186AFD" w14:textId="0E4E885C" w:rsidR="00DF015E" w:rsidRDefault="00DF015E" w:rsidP="00DF015E">
      <w:r w:rsidRPr="002B7CBF">
        <w:t>L</w:t>
      </w:r>
      <w:r>
        <w:t>’</w:t>
      </w:r>
      <w:r w:rsidRPr="002B7CBF">
        <w:t xml:space="preserve">entreprise peut avoir besoin de ressources financières pour </w:t>
      </w:r>
      <w:r>
        <w:t>assurer le financement d</w:t>
      </w:r>
      <w:r>
        <w:t>’</w:t>
      </w:r>
      <w:r>
        <w:t>une immobilisation ou le financement d</w:t>
      </w:r>
      <w:r>
        <w:t>’</w:t>
      </w:r>
      <w:r>
        <w:t>un besoin en fonds de roulement (BFR). La provenance du financement peut avoir plusieurs origines. Chacun d</w:t>
      </w:r>
      <w:r>
        <w:t>’</w:t>
      </w:r>
      <w:r>
        <w:t>entre eux présente des avantages et des inconvénients.</w:t>
      </w:r>
    </w:p>
    <w:p w14:paraId="6ECBFF86" w14:textId="67B90A15" w:rsidR="00DF015E" w:rsidRDefault="00DF015E" w:rsidP="00DF015E">
      <w:pPr>
        <w:rPr>
          <w:rFonts w:hint="eastAsia"/>
        </w:rPr>
      </w:pPr>
    </w:p>
    <w:p w14:paraId="58BFA628" w14:textId="0400071A" w:rsidR="00DF015E" w:rsidRPr="00DF015E" w:rsidRDefault="00DF015E" w:rsidP="00DF015E">
      <w:pPr>
        <w:pStyle w:val="Titre2"/>
        <w:rPr>
          <w:rFonts w:hint="eastAsia"/>
        </w:rPr>
      </w:pPr>
      <w:r w:rsidRPr="002B7CBF">
        <w:t>Les modes de financement</w:t>
      </w:r>
      <w:r>
        <w:t xml:space="preserve"> internes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293"/>
        <w:gridCol w:w="3661"/>
        <w:gridCol w:w="3684"/>
      </w:tblGrid>
      <w:tr w:rsidR="00DF015E" w:rsidRPr="00DF015E" w14:paraId="1E99C20F" w14:textId="77777777" w:rsidTr="00DF015E">
        <w:tc>
          <w:tcPr>
            <w:tcW w:w="2543" w:type="dxa"/>
            <w:gridSpan w:val="2"/>
          </w:tcPr>
          <w:p w14:paraId="4B562BC4" w14:textId="77777777" w:rsidR="00DF015E" w:rsidRPr="00DF015E" w:rsidRDefault="00DF015E" w:rsidP="00DF015E">
            <w:pPr>
              <w:jc w:val="center"/>
              <w:rPr>
                <w:b/>
                <w:bCs/>
              </w:rPr>
            </w:pPr>
            <w:r w:rsidRPr="00DF015E">
              <w:rPr>
                <w:b/>
                <w:bCs/>
              </w:rPr>
              <w:t>Mode de financement</w:t>
            </w:r>
          </w:p>
        </w:tc>
        <w:tc>
          <w:tcPr>
            <w:tcW w:w="3661" w:type="dxa"/>
          </w:tcPr>
          <w:p w14:paraId="43D9D2DF" w14:textId="77777777" w:rsidR="00DF015E" w:rsidRPr="00DF015E" w:rsidRDefault="00DF015E" w:rsidP="00DF015E">
            <w:pPr>
              <w:jc w:val="center"/>
              <w:rPr>
                <w:b/>
                <w:bCs/>
              </w:rPr>
            </w:pPr>
            <w:r w:rsidRPr="00DF015E">
              <w:rPr>
                <w:b/>
                <w:bCs/>
              </w:rPr>
              <w:t>Avantages</w:t>
            </w:r>
          </w:p>
        </w:tc>
        <w:tc>
          <w:tcPr>
            <w:tcW w:w="3684" w:type="dxa"/>
          </w:tcPr>
          <w:p w14:paraId="167B9898" w14:textId="77777777" w:rsidR="00DF015E" w:rsidRPr="00DF015E" w:rsidRDefault="00DF015E" w:rsidP="00DF015E">
            <w:pPr>
              <w:jc w:val="center"/>
              <w:rPr>
                <w:b/>
                <w:bCs/>
              </w:rPr>
            </w:pPr>
            <w:r w:rsidRPr="00DF015E">
              <w:rPr>
                <w:b/>
                <w:bCs/>
              </w:rPr>
              <w:t>Inconvénients</w:t>
            </w:r>
          </w:p>
        </w:tc>
      </w:tr>
      <w:tr w:rsidR="00DF015E" w:rsidRPr="002B7CBF" w14:paraId="052F9243" w14:textId="77777777" w:rsidTr="00DF015E">
        <w:tc>
          <w:tcPr>
            <w:tcW w:w="250" w:type="dxa"/>
            <w:vMerge w:val="restart"/>
            <w:textDirection w:val="btLr"/>
          </w:tcPr>
          <w:p w14:paraId="0BB66DD4" w14:textId="48390924" w:rsidR="00DF015E" w:rsidRPr="002B7CBF" w:rsidRDefault="00DF015E" w:rsidP="00DF015E">
            <w:pPr>
              <w:jc w:val="left"/>
            </w:pPr>
          </w:p>
        </w:tc>
        <w:tc>
          <w:tcPr>
            <w:tcW w:w="2293" w:type="dxa"/>
          </w:tcPr>
          <w:p w14:paraId="70A01037" w14:textId="77777777" w:rsidR="00DF015E" w:rsidRPr="00DF015E" w:rsidRDefault="00DF015E" w:rsidP="00DF015E">
            <w:pPr>
              <w:jc w:val="left"/>
              <w:rPr>
                <w:b/>
                <w:bCs/>
              </w:rPr>
            </w:pPr>
            <w:r w:rsidRPr="00DF015E">
              <w:rPr>
                <w:b/>
                <w:bCs/>
              </w:rPr>
              <w:t>Autofinancement</w:t>
            </w:r>
          </w:p>
        </w:tc>
        <w:tc>
          <w:tcPr>
            <w:tcW w:w="3661" w:type="dxa"/>
          </w:tcPr>
          <w:p w14:paraId="479B02A5" w14:textId="274743E4" w:rsidR="00DF015E" w:rsidRPr="002B7CBF" w:rsidRDefault="00DF015E" w:rsidP="00DF015E">
            <w:pPr>
              <w:jc w:val="left"/>
            </w:pPr>
            <w:r w:rsidRPr="002B7CBF">
              <w:t>Facile et rapide à mettre en place</w:t>
            </w:r>
            <w:r>
              <w:t>.</w:t>
            </w:r>
          </w:p>
          <w:p w14:paraId="20C146BD" w14:textId="7093B178" w:rsidR="00DF015E" w:rsidRPr="002B7CBF" w:rsidRDefault="00DF015E" w:rsidP="00DF015E">
            <w:pPr>
              <w:jc w:val="left"/>
            </w:pPr>
            <w:r w:rsidRPr="002B7CBF">
              <w:t>Pas de coût apparent</w:t>
            </w:r>
            <w:r>
              <w:t>.</w:t>
            </w:r>
          </w:p>
          <w:p w14:paraId="08ED19AB" w14:textId="67AD06A9" w:rsidR="00DF015E" w:rsidRDefault="00DF015E" w:rsidP="00DF015E">
            <w:pPr>
              <w:jc w:val="left"/>
            </w:pPr>
            <w:r w:rsidRPr="002B7CBF">
              <w:t>Augment</w:t>
            </w:r>
            <w:r>
              <w:t>ation de</w:t>
            </w:r>
            <w:r w:rsidRPr="002B7CBF">
              <w:t xml:space="preserve"> l</w:t>
            </w:r>
            <w:r>
              <w:t>’</w:t>
            </w:r>
            <w:r w:rsidRPr="002B7CBF">
              <w:t>indépendance financière</w:t>
            </w:r>
            <w:r>
              <w:t>.</w:t>
            </w:r>
          </w:p>
          <w:p w14:paraId="3664652F" w14:textId="0AFE6E5F" w:rsidR="00DF015E" w:rsidRPr="002B7CBF" w:rsidRDefault="00DF015E" w:rsidP="00DF015E">
            <w:pPr>
              <w:jc w:val="left"/>
            </w:pPr>
            <w:r w:rsidRPr="002B7CBF">
              <w:t>Aucune obligation de décaissement.</w:t>
            </w:r>
          </w:p>
        </w:tc>
        <w:tc>
          <w:tcPr>
            <w:tcW w:w="3684" w:type="dxa"/>
          </w:tcPr>
          <w:p w14:paraId="448A8D72" w14:textId="2EEBEE34" w:rsidR="00DF015E" w:rsidRPr="002B7CBF" w:rsidRDefault="00DF015E" w:rsidP="00DF015E">
            <w:pPr>
              <w:jc w:val="left"/>
            </w:pPr>
            <w:r w:rsidRPr="002B7CBF">
              <w:t>Au détriment des dividendes</w:t>
            </w:r>
            <w:r>
              <w:t>.</w:t>
            </w:r>
          </w:p>
          <w:p w14:paraId="1261324C" w14:textId="0F328871" w:rsidR="00DF015E" w:rsidRPr="002B7CBF" w:rsidRDefault="00DF015E" w:rsidP="00DF015E">
            <w:pPr>
              <w:jc w:val="left"/>
            </w:pPr>
            <w:r w:rsidRPr="002B7CBF">
              <w:t>Dépend</w:t>
            </w:r>
            <w:r>
              <w:t xml:space="preserve">ance envers </w:t>
            </w:r>
            <w:r w:rsidRPr="002B7CBF">
              <w:t>la trésorerie disponible</w:t>
            </w:r>
            <w:r>
              <w:t>.</w:t>
            </w:r>
          </w:p>
          <w:p w14:paraId="35D345F5" w14:textId="2FB3882B" w:rsidR="00DF015E" w:rsidRPr="002B7CBF" w:rsidRDefault="00DF015E" w:rsidP="00DF015E">
            <w:pPr>
              <w:jc w:val="left"/>
            </w:pPr>
            <w:r w:rsidRPr="002B7CBF">
              <w:t>Nécessit</w:t>
            </w:r>
            <w:r>
              <w:t>é d’un</w:t>
            </w:r>
            <w:r w:rsidRPr="002B7CBF">
              <w:t xml:space="preserve"> autre financement.</w:t>
            </w:r>
          </w:p>
        </w:tc>
      </w:tr>
      <w:tr w:rsidR="00DF015E" w:rsidRPr="002B7CBF" w14:paraId="6D816DBB" w14:textId="77777777" w:rsidTr="00DF015E">
        <w:tc>
          <w:tcPr>
            <w:tcW w:w="250" w:type="dxa"/>
            <w:vMerge/>
          </w:tcPr>
          <w:p w14:paraId="0D0AC80B" w14:textId="77777777" w:rsidR="00DF015E" w:rsidRPr="002B7CBF" w:rsidRDefault="00DF015E" w:rsidP="00DF015E">
            <w:pPr>
              <w:jc w:val="left"/>
            </w:pPr>
          </w:p>
        </w:tc>
        <w:tc>
          <w:tcPr>
            <w:tcW w:w="2293" w:type="dxa"/>
          </w:tcPr>
          <w:p w14:paraId="71A90E35" w14:textId="77777777" w:rsidR="00DF015E" w:rsidRPr="00DF015E" w:rsidRDefault="00DF015E" w:rsidP="00DF015E">
            <w:pPr>
              <w:jc w:val="left"/>
              <w:rPr>
                <w:b/>
                <w:bCs/>
              </w:rPr>
            </w:pPr>
            <w:r w:rsidRPr="00DF015E">
              <w:rPr>
                <w:b/>
                <w:bCs/>
              </w:rPr>
              <w:t>Apports personnels des associés en compte courant</w:t>
            </w:r>
          </w:p>
        </w:tc>
        <w:tc>
          <w:tcPr>
            <w:tcW w:w="3661" w:type="dxa"/>
          </w:tcPr>
          <w:p w14:paraId="7D92FAA4" w14:textId="086473F3" w:rsidR="00DF015E" w:rsidRPr="002B7CBF" w:rsidRDefault="00DF015E" w:rsidP="00DF015E">
            <w:pPr>
              <w:jc w:val="left"/>
            </w:pPr>
            <w:r w:rsidRPr="002B7CBF">
              <w:t>Facile et rapide à obtenir</w:t>
            </w:r>
            <w:r>
              <w:t>.</w:t>
            </w:r>
          </w:p>
          <w:p w14:paraId="0AA65B4B" w14:textId="13D2DAE3" w:rsidR="00DF015E" w:rsidRPr="002B7CBF" w:rsidRDefault="00DF015E" w:rsidP="00DF015E">
            <w:pPr>
              <w:jc w:val="left"/>
            </w:pPr>
            <w:r w:rsidRPr="002B7CBF">
              <w:t>Conditions de remboursement négociées</w:t>
            </w:r>
            <w:r>
              <w:t>.</w:t>
            </w:r>
          </w:p>
          <w:p w14:paraId="2B090D83" w14:textId="46654E68" w:rsidR="00DF015E" w:rsidRPr="002B7CBF" w:rsidRDefault="00DF015E" w:rsidP="00DF015E">
            <w:pPr>
              <w:jc w:val="left"/>
            </w:pPr>
            <w:r w:rsidRPr="002B7CBF">
              <w:t>Adapté aux PME</w:t>
            </w:r>
            <w:r>
              <w:t>.</w:t>
            </w:r>
          </w:p>
          <w:p w14:paraId="15581616" w14:textId="5FF60E48" w:rsidR="00DF015E" w:rsidRPr="002B7CBF" w:rsidRDefault="00DF015E" w:rsidP="00DF015E">
            <w:pPr>
              <w:jc w:val="left"/>
            </w:pPr>
            <w:r w:rsidRPr="002B7CBF">
              <w:t>Renforce</w:t>
            </w:r>
            <w:r>
              <w:t>ment d</w:t>
            </w:r>
            <w:r w:rsidRPr="002B7CBF">
              <w:t>es fonds propres.</w:t>
            </w:r>
          </w:p>
        </w:tc>
        <w:tc>
          <w:tcPr>
            <w:tcW w:w="3684" w:type="dxa"/>
          </w:tcPr>
          <w:p w14:paraId="6F540602" w14:textId="1F7728E6" w:rsidR="00DF015E" w:rsidRPr="002B7CBF" w:rsidRDefault="00DF015E" w:rsidP="00DF015E">
            <w:pPr>
              <w:jc w:val="left"/>
            </w:pPr>
            <w:r w:rsidRPr="002B7CBF">
              <w:t>Obtention si volonté des associés</w:t>
            </w:r>
            <w:r>
              <w:t>.</w:t>
            </w:r>
          </w:p>
          <w:p w14:paraId="05776787" w14:textId="17FD536F" w:rsidR="00DF015E" w:rsidRPr="002B7CBF" w:rsidRDefault="00DF015E" w:rsidP="00DF015E">
            <w:pPr>
              <w:jc w:val="left"/>
            </w:pPr>
            <w:r w:rsidRPr="002B7CBF">
              <w:t>Augmentation de l</w:t>
            </w:r>
            <w:r>
              <w:t>’</w:t>
            </w:r>
            <w:r w:rsidRPr="002B7CBF">
              <w:t>endettement</w:t>
            </w:r>
            <w:r>
              <w:t>.</w:t>
            </w:r>
          </w:p>
          <w:p w14:paraId="50CB4FA1" w14:textId="14CEE103" w:rsidR="00DF015E" w:rsidRPr="002B7CBF" w:rsidRDefault="00DF015E" w:rsidP="00DF015E">
            <w:pPr>
              <w:jc w:val="left"/>
            </w:pPr>
            <w:r w:rsidRPr="002B7CBF">
              <w:t>Remboursement à tout moment</w:t>
            </w:r>
            <w:r>
              <w:t>.</w:t>
            </w:r>
          </w:p>
          <w:p w14:paraId="22BAA610" w14:textId="77777777" w:rsidR="00DF015E" w:rsidRPr="002B7CBF" w:rsidRDefault="00DF015E" w:rsidP="00DF015E">
            <w:pPr>
              <w:jc w:val="left"/>
            </w:pPr>
            <w:r w:rsidRPr="002B7CBF">
              <w:t>Déductibilité des intérêts plafonnée.</w:t>
            </w:r>
          </w:p>
        </w:tc>
      </w:tr>
    </w:tbl>
    <w:p w14:paraId="76B091AA" w14:textId="76A90CA8" w:rsidR="00DF015E" w:rsidRDefault="00DF015E" w:rsidP="00DF015E">
      <w:pPr>
        <w:rPr>
          <w:b/>
          <w:bCs/>
          <w:sz w:val="26"/>
          <w:szCs w:val="26"/>
          <w:u w:val="single"/>
        </w:rPr>
      </w:pPr>
    </w:p>
    <w:p w14:paraId="4E5770BB" w14:textId="0B8C9EC3" w:rsidR="00DF015E" w:rsidRDefault="00DF015E" w:rsidP="00DF015E">
      <w:pPr>
        <w:rPr>
          <w:b/>
          <w:bCs/>
          <w:sz w:val="26"/>
          <w:szCs w:val="26"/>
          <w:u w:val="single"/>
        </w:rPr>
      </w:pPr>
    </w:p>
    <w:p w14:paraId="2CB356BD" w14:textId="77135777" w:rsidR="00DF015E" w:rsidRDefault="00DF015E" w:rsidP="00DF015E">
      <w:pPr>
        <w:rPr>
          <w:b/>
          <w:bCs/>
          <w:sz w:val="26"/>
          <w:szCs w:val="26"/>
          <w:u w:val="single"/>
        </w:rPr>
      </w:pPr>
    </w:p>
    <w:p w14:paraId="3C0F6305" w14:textId="35569B25" w:rsidR="00DF015E" w:rsidRDefault="00DF015E" w:rsidP="00DF015E">
      <w:pPr>
        <w:rPr>
          <w:b/>
          <w:bCs/>
          <w:sz w:val="26"/>
          <w:szCs w:val="26"/>
          <w:u w:val="single"/>
        </w:rPr>
      </w:pPr>
    </w:p>
    <w:p w14:paraId="568ABC99" w14:textId="77777777" w:rsidR="00DF015E" w:rsidRDefault="00DF015E" w:rsidP="00DF015E">
      <w:pPr>
        <w:rPr>
          <w:b/>
          <w:bCs/>
          <w:sz w:val="26"/>
          <w:szCs w:val="26"/>
          <w:u w:val="single"/>
        </w:rPr>
      </w:pPr>
    </w:p>
    <w:p w14:paraId="09593D2A" w14:textId="77777777" w:rsidR="00DF015E" w:rsidRDefault="00DF015E" w:rsidP="00DF015E">
      <w:pPr>
        <w:pStyle w:val="Titre2"/>
        <w:rPr>
          <w:rFonts w:hint="eastAsia"/>
        </w:rPr>
      </w:pPr>
      <w:r w:rsidRPr="002B7CBF">
        <w:t>Les modes de financement</w:t>
      </w:r>
      <w:r>
        <w:t xml:space="preserve"> externes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338"/>
        <w:gridCol w:w="3899"/>
        <w:gridCol w:w="3637"/>
      </w:tblGrid>
      <w:tr w:rsidR="00DF015E" w:rsidRPr="00DF015E" w14:paraId="3F55699B" w14:textId="77777777" w:rsidTr="00DF015E">
        <w:tc>
          <w:tcPr>
            <w:tcW w:w="2588" w:type="dxa"/>
            <w:gridSpan w:val="2"/>
          </w:tcPr>
          <w:p w14:paraId="5BC0BCE0" w14:textId="77777777" w:rsidR="00DF015E" w:rsidRPr="00DF015E" w:rsidRDefault="00DF015E" w:rsidP="00DF015E">
            <w:pPr>
              <w:jc w:val="center"/>
              <w:rPr>
                <w:b/>
                <w:bCs/>
              </w:rPr>
            </w:pPr>
            <w:r w:rsidRPr="00DF015E">
              <w:rPr>
                <w:b/>
                <w:bCs/>
              </w:rPr>
              <w:t>Mode de financement</w:t>
            </w:r>
          </w:p>
        </w:tc>
        <w:tc>
          <w:tcPr>
            <w:tcW w:w="3899" w:type="dxa"/>
          </w:tcPr>
          <w:p w14:paraId="0C1ABBA3" w14:textId="77777777" w:rsidR="00DF015E" w:rsidRPr="00DF015E" w:rsidRDefault="00DF015E" w:rsidP="00DF015E">
            <w:pPr>
              <w:jc w:val="center"/>
              <w:rPr>
                <w:b/>
                <w:bCs/>
              </w:rPr>
            </w:pPr>
            <w:r w:rsidRPr="00DF015E">
              <w:rPr>
                <w:b/>
                <w:bCs/>
              </w:rPr>
              <w:t>Avantages</w:t>
            </w:r>
          </w:p>
        </w:tc>
        <w:tc>
          <w:tcPr>
            <w:tcW w:w="3637" w:type="dxa"/>
          </w:tcPr>
          <w:p w14:paraId="789D2305" w14:textId="77777777" w:rsidR="00DF015E" w:rsidRPr="00DF015E" w:rsidRDefault="00DF015E" w:rsidP="00DF015E">
            <w:pPr>
              <w:jc w:val="center"/>
              <w:rPr>
                <w:b/>
                <w:bCs/>
              </w:rPr>
            </w:pPr>
            <w:r w:rsidRPr="00DF015E">
              <w:rPr>
                <w:b/>
                <w:bCs/>
              </w:rPr>
              <w:t>Inconvénients</w:t>
            </w:r>
          </w:p>
        </w:tc>
      </w:tr>
      <w:tr w:rsidR="00DF015E" w:rsidRPr="002B7CBF" w14:paraId="2BB4C7CA" w14:textId="77777777" w:rsidTr="00DF015E">
        <w:tc>
          <w:tcPr>
            <w:tcW w:w="250" w:type="dxa"/>
            <w:vMerge w:val="restart"/>
            <w:textDirection w:val="btLr"/>
          </w:tcPr>
          <w:p w14:paraId="76E8490C" w14:textId="1C5DC468" w:rsidR="00DF015E" w:rsidRPr="002B7CBF" w:rsidRDefault="00DF015E" w:rsidP="00DF015E"/>
        </w:tc>
        <w:tc>
          <w:tcPr>
            <w:tcW w:w="2338" w:type="dxa"/>
          </w:tcPr>
          <w:p w14:paraId="484754B5" w14:textId="77777777" w:rsidR="00DF015E" w:rsidRPr="002B7CBF" w:rsidRDefault="00DF015E" w:rsidP="00DF015E">
            <w:pPr>
              <w:jc w:val="left"/>
            </w:pPr>
            <w:r w:rsidRPr="002B7CBF">
              <w:t xml:space="preserve">Emprunt bancaire </w:t>
            </w:r>
          </w:p>
        </w:tc>
        <w:tc>
          <w:tcPr>
            <w:tcW w:w="3899" w:type="dxa"/>
          </w:tcPr>
          <w:p w14:paraId="73898DA0" w14:textId="04B9484D" w:rsidR="00DF015E" w:rsidRPr="002B7CBF" w:rsidRDefault="00DF015E" w:rsidP="00DF015E">
            <w:pPr>
              <w:jc w:val="left"/>
            </w:pPr>
            <w:r w:rsidRPr="002B7CBF">
              <w:t>Déductibilité des intérêts</w:t>
            </w:r>
            <w:r>
              <w:t>.</w:t>
            </w:r>
          </w:p>
          <w:p w14:paraId="7F0B2636" w14:textId="5EABB39E" w:rsidR="00DF015E" w:rsidRPr="002B7CBF" w:rsidRDefault="00DF015E" w:rsidP="00DF015E">
            <w:pPr>
              <w:jc w:val="left"/>
            </w:pPr>
            <w:r w:rsidRPr="002B7CBF">
              <w:t>Effet de levier financier</w:t>
            </w:r>
            <w:r>
              <w:t>.</w:t>
            </w:r>
          </w:p>
          <w:p w14:paraId="69C5E5D1" w14:textId="7C1692E1" w:rsidR="00DF015E" w:rsidRPr="002B7CBF" w:rsidRDefault="00DF015E" w:rsidP="00DF015E">
            <w:pPr>
              <w:jc w:val="left"/>
            </w:pPr>
            <w:r w:rsidRPr="002B7CBF">
              <w:t xml:space="preserve">Diversité des modes de remboursement (annuités constantes, amortissements constants, remboursement </w:t>
            </w:r>
            <w:r w:rsidRPr="00DF015E">
              <w:rPr>
                <w:i/>
                <w:iCs/>
              </w:rPr>
              <w:t>in</w:t>
            </w:r>
            <w:r w:rsidRPr="002B7CBF">
              <w:t xml:space="preserve"> </w:t>
            </w:r>
            <w:r w:rsidRPr="00DF015E">
              <w:rPr>
                <w:i/>
                <w:iCs/>
              </w:rPr>
              <w:t>fine</w:t>
            </w:r>
            <w:r w:rsidRPr="002B7CBF">
              <w:t>).</w:t>
            </w:r>
          </w:p>
        </w:tc>
        <w:tc>
          <w:tcPr>
            <w:tcW w:w="3637" w:type="dxa"/>
          </w:tcPr>
          <w:p w14:paraId="680E7B09" w14:textId="176DE3DB" w:rsidR="00DF015E" w:rsidRPr="002B7CBF" w:rsidRDefault="00DF015E" w:rsidP="00DF015E">
            <w:pPr>
              <w:jc w:val="left"/>
            </w:pPr>
            <w:r w:rsidRPr="002B7CBF">
              <w:t>Perte d</w:t>
            </w:r>
            <w:r>
              <w:t>’</w:t>
            </w:r>
            <w:r w:rsidRPr="002B7CBF">
              <w:t>autonomie financière</w:t>
            </w:r>
            <w:r>
              <w:t>.</w:t>
            </w:r>
          </w:p>
          <w:p w14:paraId="0E92E8A1" w14:textId="4ADCD98F" w:rsidR="00DF015E" w:rsidRPr="002B7CBF" w:rsidRDefault="00DF015E" w:rsidP="00DF015E">
            <w:pPr>
              <w:jc w:val="left"/>
            </w:pPr>
            <w:r w:rsidRPr="002B7CBF">
              <w:t>Effet de massue</w:t>
            </w:r>
            <w:r>
              <w:t>.</w:t>
            </w:r>
          </w:p>
          <w:p w14:paraId="34F33298" w14:textId="4A341DFE" w:rsidR="00DF015E" w:rsidRPr="002B7CBF" w:rsidRDefault="00DF015E" w:rsidP="00DF015E">
            <w:pPr>
              <w:jc w:val="left"/>
            </w:pPr>
            <w:r w:rsidRPr="002B7CBF">
              <w:t>Hauteur des taux d</w:t>
            </w:r>
            <w:r>
              <w:t>’</w:t>
            </w:r>
            <w:r w:rsidRPr="002B7CBF">
              <w:t>intérêt.</w:t>
            </w:r>
          </w:p>
          <w:p w14:paraId="70E8BD58" w14:textId="77777777" w:rsidR="00DF015E" w:rsidRPr="002B7CBF" w:rsidRDefault="00DF015E" w:rsidP="00DF015E">
            <w:pPr>
              <w:jc w:val="left"/>
            </w:pPr>
          </w:p>
        </w:tc>
      </w:tr>
      <w:tr w:rsidR="00DF015E" w:rsidRPr="002B7CBF" w14:paraId="04BA7DDF" w14:textId="77777777" w:rsidTr="00DF015E">
        <w:tc>
          <w:tcPr>
            <w:tcW w:w="250" w:type="dxa"/>
            <w:vMerge/>
          </w:tcPr>
          <w:p w14:paraId="51615CBC" w14:textId="77777777" w:rsidR="00DF015E" w:rsidRPr="002B7CBF" w:rsidRDefault="00DF015E" w:rsidP="00DF015E"/>
        </w:tc>
        <w:tc>
          <w:tcPr>
            <w:tcW w:w="2338" w:type="dxa"/>
          </w:tcPr>
          <w:p w14:paraId="1F2F75A9" w14:textId="77777777" w:rsidR="00DF015E" w:rsidRPr="00DF015E" w:rsidRDefault="00DF015E" w:rsidP="00DF015E">
            <w:pPr>
              <w:jc w:val="left"/>
              <w:rPr>
                <w:b/>
                <w:bCs/>
              </w:rPr>
            </w:pPr>
            <w:r w:rsidRPr="00DF015E">
              <w:rPr>
                <w:b/>
                <w:bCs/>
              </w:rPr>
              <w:t>Augmentation de capital</w:t>
            </w:r>
          </w:p>
        </w:tc>
        <w:tc>
          <w:tcPr>
            <w:tcW w:w="3899" w:type="dxa"/>
          </w:tcPr>
          <w:p w14:paraId="7AC1944E" w14:textId="4847C07C" w:rsidR="00DF015E" w:rsidRPr="002B7CBF" w:rsidRDefault="00DF015E" w:rsidP="00DF015E">
            <w:pPr>
              <w:jc w:val="left"/>
            </w:pPr>
            <w:r w:rsidRPr="002B7CBF">
              <w:t>Augment</w:t>
            </w:r>
            <w:r w:rsidR="004C33E9">
              <w:t>ation de</w:t>
            </w:r>
            <w:r w:rsidRPr="002B7CBF">
              <w:t xml:space="preserve"> l</w:t>
            </w:r>
            <w:r>
              <w:t>’</w:t>
            </w:r>
            <w:r w:rsidRPr="002B7CBF">
              <w:t>indépendance financière</w:t>
            </w:r>
            <w:r>
              <w:t>.</w:t>
            </w:r>
          </w:p>
          <w:p w14:paraId="6F637237" w14:textId="4EA220C0" w:rsidR="00DF015E" w:rsidRPr="002B7CBF" w:rsidRDefault="004C33E9" w:rsidP="00DF015E">
            <w:pPr>
              <w:jc w:val="left"/>
            </w:pPr>
            <w:r>
              <w:t>A</w:t>
            </w:r>
            <w:r w:rsidR="00DF015E" w:rsidRPr="002B7CBF">
              <w:t>ucune obligation de décaissement</w:t>
            </w:r>
            <w:r w:rsidR="00DF015E">
              <w:t>.</w:t>
            </w:r>
          </w:p>
          <w:p w14:paraId="552187D0" w14:textId="1CDF5E59" w:rsidR="00DF015E" w:rsidRPr="002B7CBF" w:rsidRDefault="00DF015E" w:rsidP="00DF015E">
            <w:pPr>
              <w:jc w:val="left"/>
            </w:pPr>
            <w:r w:rsidRPr="002B7CBF">
              <w:t>Augment</w:t>
            </w:r>
            <w:r>
              <w:t>ation d</w:t>
            </w:r>
            <w:r w:rsidRPr="002B7CBF">
              <w:t>es garanties données au</w:t>
            </w:r>
            <w:r w:rsidR="00655693">
              <w:t>x</w:t>
            </w:r>
            <w:r w:rsidRPr="002B7CBF">
              <w:t xml:space="preserve"> tiers.</w:t>
            </w:r>
          </w:p>
        </w:tc>
        <w:tc>
          <w:tcPr>
            <w:tcW w:w="3637" w:type="dxa"/>
          </w:tcPr>
          <w:p w14:paraId="02641CB2" w14:textId="06E79771" w:rsidR="00DF015E" w:rsidRPr="002B7CBF" w:rsidRDefault="00DF015E" w:rsidP="00DF015E">
            <w:pPr>
              <w:jc w:val="left"/>
            </w:pPr>
            <w:r w:rsidRPr="002B7CBF">
              <w:t>Accord des actionnaires en AGE</w:t>
            </w:r>
            <w:r>
              <w:t>.</w:t>
            </w:r>
          </w:p>
          <w:p w14:paraId="55AD7BE1" w14:textId="37AFEB42" w:rsidR="00DF015E" w:rsidRPr="002B7CBF" w:rsidRDefault="00DF015E" w:rsidP="00DF015E">
            <w:pPr>
              <w:jc w:val="left"/>
            </w:pPr>
            <w:r w:rsidRPr="002B7CBF">
              <w:t>Dilution des bénéfices/action</w:t>
            </w:r>
            <w:r>
              <w:t>s.</w:t>
            </w:r>
          </w:p>
          <w:p w14:paraId="7B764ED0" w14:textId="77777777" w:rsidR="00DF015E" w:rsidRPr="002B7CBF" w:rsidRDefault="00DF015E" w:rsidP="00DF015E">
            <w:pPr>
              <w:jc w:val="left"/>
            </w:pPr>
            <w:r w:rsidRPr="002B7CBF">
              <w:t>Diminution du pouvoir des anciens actionnaires si entrée de nouveaux.</w:t>
            </w:r>
          </w:p>
        </w:tc>
      </w:tr>
      <w:tr w:rsidR="00DF015E" w:rsidRPr="002B7CBF" w14:paraId="798B34B4" w14:textId="77777777" w:rsidTr="00DF015E">
        <w:tc>
          <w:tcPr>
            <w:tcW w:w="250" w:type="dxa"/>
            <w:vMerge/>
          </w:tcPr>
          <w:p w14:paraId="017B94AE" w14:textId="77777777" w:rsidR="00DF015E" w:rsidRPr="002B7CBF" w:rsidRDefault="00DF015E" w:rsidP="00DF015E"/>
        </w:tc>
        <w:tc>
          <w:tcPr>
            <w:tcW w:w="2338" w:type="dxa"/>
          </w:tcPr>
          <w:p w14:paraId="7D038151" w14:textId="77777777" w:rsidR="00DF015E" w:rsidRPr="00DF015E" w:rsidRDefault="00DF015E" w:rsidP="00DF015E">
            <w:pPr>
              <w:jc w:val="left"/>
              <w:rPr>
                <w:b/>
                <w:bCs/>
              </w:rPr>
            </w:pPr>
            <w:r w:rsidRPr="00DF015E">
              <w:rPr>
                <w:b/>
                <w:bCs/>
              </w:rPr>
              <w:t>Financement participatif</w:t>
            </w:r>
          </w:p>
        </w:tc>
        <w:tc>
          <w:tcPr>
            <w:tcW w:w="3899" w:type="dxa"/>
          </w:tcPr>
          <w:p w14:paraId="0A8503C8" w14:textId="75DE390B" w:rsidR="00DF015E" w:rsidRPr="002B7CBF" w:rsidRDefault="00DF015E" w:rsidP="00DF015E">
            <w:pPr>
              <w:jc w:val="left"/>
            </w:pPr>
            <w:r w:rsidRPr="002B7CBF">
              <w:t>Possibilité de choisir le projet financé et le montant apporté</w:t>
            </w:r>
            <w:r>
              <w:t>.</w:t>
            </w:r>
          </w:p>
          <w:p w14:paraId="2BEEB858" w14:textId="0F0B990E" w:rsidR="00DF015E" w:rsidRPr="002B7CBF" w:rsidRDefault="00DF015E" w:rsidP="00DF015E">
            <w:pPr>
              <w:jc w:val="left"/>
            </w:pPr>
            <w:r w:rsidRPr="002B7CBF">
              <w:t>Fonctionnement très simple</w:t>
            </w:r>
            <w:r w:rsidR="00655693">
              <w:t>.</w:t>
            </w:r>
          </w:p>
          <w:p w14:paraId="0022D3A7" w14:textId="77777777" w:rsidR="00DF015E" w:rsidRPr="002B7CBF" w:rsidRDefault="00DF015E" w:rsidP="00DF015E">
            <w:pPr>
              <w:jc w:val="left"/>
            </w:pPr>
            <w:r w:rsidRPr="002B7CBF">
              <w:t>Collecte rapide des fonds.</w:t>
            </w:r>
          </w:p>
        </w:tc>
        <w:tc>
          <w:tcPr>
            <w:tcW w:w="3637" w:type="dxa"/>
          </w:tcPr>
          <w:p w14:paraId="531E4C50" w14:textId="2225C4DB" w:rsidR="00DF015E" w:rsidRPr="002B7CBF" w:rsidRDefault="00DF015E" w:rsidP="00DF015E">
            <w:pPr>
              <w:jc w:val="left"/>
            </w:pPr>
            <w:r w:rsidRPr="002B7CBF">
              <w:t>Restitution des fonds aux participants si 100</w:t>
            </w:r>
            <w:r w:rsidR="00655693">
              <w:t> </w:t>
            </w:r>
            <w:r w:rsidRPr="002B7CBF">
              <w:t>% des fonds ne sont pas collectés</w:t>
            </w:r>
            <w:r w:rsidR="00655693">
              <w:t>.</w:t>
            </w:r>
          </w:p>
          <w:p w14:paraId="4C627E11" w14:textId="1E4D3C5A" w:rsidR="00DF015E" w:rsidRPr="002B7CBF" w:rsidRDefault="00DF015E" w:rsidP="00DF015E">
            <w:pPr>
              <w:jc w:val="left"/>
            </w:pPr>
            <w:r w:rsidRPr="002B7CBF">
              <w:t>Coût de</w:t>
            </w:r>
            <w:r w:rsidR="00655693">
              <w:t xml:space="preserve"> la</w:t>
            </w:r>
            <w:r w:rsidRPr="002B7CBF">
              <w:t xml:space="preserve"> plateforme.</w:t>
            </w:r>
          </w:p>
        </w:tc>
      </w:tr>
      <w:tr w:rsidR="00DF015E" w:rsidRPr="002B7CBF" w14:paraId="452E0AC5" w14:textId="77777777" w:rsidTr="00DF015E">
        <w:tc>
          <w:tcPr>
            <w:tcW w:w="250" w:type="dxa"/>
            <w:vMerge/>
          </w:tcPr>
          <w:p w14:paraId="6C71D81F" w14:textId="77777777" w:rsidR="00DF015E" w:rsidRPr="002B7CBF" w:rsidRDefault="00DF015E" w:rsidP="00DF015E"/>
        </w:tc>
        <w:tc>
          <w:tcPr>
            <w:tcW w:w="2338" w:type="dxa"/>
          </w:tcPr>
          <w:p w14:paraId="667D0B7B" w14:textId="77777777" w:rsidR="00DF015E" w:rsidRPr="00DF015E" w:rsidRDefault="00DF015E" w:rsidP="00DF015E">
            <w:pPr>
              <w:jc w:val="left"/>
              <w:rPr>
                <w:b/>
                <w:bCs/>
              </w:rPr>
            </w:pPr>
            <w:r w:rsidRPr="00DF015E">
              <w:rPr>
                <w:b/>
                <w:bCs/>
              </w:rPr>
              <w:t>Subvention</w:t>
            </w:r>
          </w:p>
        </w:tc>
        <w:tc>
          <w:tcPr>
            <w:tcW w:w="3899" w:type="dxa"/>
          </w:tcPr>
          <w:p w14:paraId="662E4F03" w14:textId="0C2AA430" w:rsidR="00DF015E" w:rsidRPr="002B7CBF" w:rsidRDefault="00DF015E" w:rsidP="00DF015E">
            <w:pPr>
              <w:jc w:val="left"/>
            </w:pPr>
            <w:r w:rsidRPr="002B7CBF">
              <w:t>Amélioration du ratio d</w:t>
            </w:r>
            <w:r>
              <w:t>’</w:t>
            </w:r>
            <w:r w:rsidRPr="002B7CBF">
              <w:t>endettement</w:t>
            </w:r>
            <w:r w:rsidR="004C33E9">
              <w:t>.</w:t>
            </w:r>
          </w:p>
          <w:p w14:paraId="199A246C" w14:textId="2DD3422A" w:rsidR="00DF015E" w:rsidRPr="002B7CBF" w:rsidRDefault="00DF015E" w:rsidP="00DF015E">
            <w:pPr>
              <w:jc w:val="left"/>
            </w:pPr>
            <w:r w:rsidRPr="002B7CBF">
              <w:t>Avantages fiscaux avec l</w:t>
            </w:r>
            <w:r>
              <w:t>’</w:t>
            </w:r>
            <w:r w:rsidRPr="002B7CBF">
              <w:t>étalement de la subvention d</w:t>
            </w:r>
            <w:r>
              <w:t>’</w:t>
            </w:r>
            <w:r w:rsidRPr="002B7CBF">
              <w:t>investissement</w:t>
            </w:r>
            <w:r w:rsidR="004C33E9">
              <w:t>.</w:t>
            </w:r>
          </w:p>
          <w:p w14:paraId="49740027" w14:textId="77777777" w:rsidR="00DF015E" w:rsidRPr="002B7CBF" w:rsidRDefault="00DF015E" w:rsidP="00DF015E">
            <w:pPr>
              <w:jc w:val="left"/>
            </w:pPr>
            <w:r w:rsidRPr="002B7CBF">
              <w:t>Absence de remboursement.</w:t>
            </w:r>
          </w:p>
        </w:tc>
        <w:tc>
          <w:tcPr>
            <w:tcW w:w="3637" w:type="dxa"/>
          </w:tcPr>
          <w:p w14:paraId="0236A580" w14:textId="3C13E0EE" w:rsidR="00DF015E" w:rsidRPr="002B7CBF" w:rsidRDefault="00DF015E" w:rsidP="00DF015E">
            <w:pPr>
              <w:jc w:val="left"/>
            </w:pPr>
            <w:r w:rsidRPr="002B7CBF">
              <w:t>Caractère aléatoire des subventions</w:t>
            </w:r>
            <w:r w:rsidR="004C33E9">
              <w:t>.</w:t>
            </w:r>
          </w:p>
          <w:p w14:paraId="0577BE00" w14:textId="5CFD915D" w:rsidR="00DF015E" w:rsidRPr="002B7CBF" w:rsidRDefault="00DF015E" w:rsidP="00DF015E">
            <w:pPr>
              <w:jc w:val="left"/>
            </w:pPr>
            <w:r w:rsidRPr="002B7CBF">
              <w:t>Lourdeur des formalités</w:t>
            </w:r>
            <w:r w:rsidR="004C33E9">
              <w:t>.</w:t>
            </w:r>
          </w:p>
          <w:p w14:paraId="5DC0B6B4" w14:textId="77777777" w:rsidR="00DF015E" w:rsidRPr="002B7CBF" w:rsidRDefault="00DF015E" w:rsidP="00DF015E">
            <w:pPr>
              <w:jc w:val="left"/>
            </w:pPr>
            <w:r w:rsidRPr="002B7CBF">
              <w:t>Délai de versement assez long.</w:t>
            </w:r>
          </w:p>
        </w:tc>
      </w:tr>
    </w:tbl>
    <w:p w14:paraId="46E2E432" w14:textId="77777777" w:rsidR="00DF015E" w:rsidRDefault="00DF015E" w:rsidP="002B5FAD">
      <w:pPr>
        <w:rPr>
          <w:rFonts w:hint="eastAsia"/>
        </w:rPr>
      </w:pPr>
    </w:p>
    <w:p w14:paraId="6ED11221" w14:textId="43ADB23B" w:rsidR="00DF015E" w:rsidRDefault="00DF015E" w:rsidP="002B5FAD">
      <w:pPr>
        <w:pStyle w:val="Titre2"/>
        <w:rPr>
          <w:rFonts w:hint="eastAsia"/>
        </w:rPr>
      </w:pPr>
      <w:r w:rsidRPr="002B7CBF">
        <w:t>L</w:t>
      </w:r>
      <w:r>
        <w:t>’</w:t>
      </w:r>
      <w:r w:rsidRPr="002B7CBF">
        <w:t>arbitrage entre les modes de financement à long terme</w:t>
      </w:r>
    </w:p>
    <w:p w14:paraId="60E5A45D" w14:textId="0C924C5F" w:rsidR="00DF015E" w:rsidRDefault="00DF015E" w:rsidP="002B5FAD">
      <w:r w:rsidRPr="002B7CBF">
        <w:t>L</w:t>
      </w:r>
      <w:r>
        <w:t>’</w:t>
      </w:r>
      <w:r w:rsidRPr="002B7CBF">
        <w:t>arbitrage</w:t>
      </w:r>
      <w:r>
        <w:t xml:space="preserve"> consiste à étudier chacune des modalités de financement possibles pour en retenir une ou pour en combiner plusieurs en fonction de plusieurs paramètres.</w:t>
      </w:r>
      <w:r w:rsidR="002B5FAD">
        <w:t xml:space="preserve"> </w:t>
      </w:r>
      <w:r>
        <w:t>Les enjeux de l</w:t>
      </w:r>
      <w:r>
        <w:t>’</w:t>
      </w:r>
      <w:r>
        <w:t>arbitrage sont important</w:t>
      </w:r>
      <w:r w:rsidR="002B5FAD">
        <w:t xml:space="preserve"> ; </w:t>
      </w:r>
      <w:r>
        <w:t>pour l</w:t>
      </w:r>
      <w:r>
        <w:t>’</w:t>
      </w:r>
      <w:r>
        <w:t>entreprise, il s</w:t>
      </w:r>
      <w:r>
        <w:t>’</w:t>
      </w:r>
      <w:r>
        <w:t>agit</w:t>
      </w:r>
      <w:r w:rsidRPr="002B7CBF">
        <w:t xml:space="preserve"> </w:t>
      </w:r>
      <w:r>
        <w:t>à la fois</w:t>
      </w:r>
      <w:r w:rsidR="002B5FAD">
        <w:t> :</w:t>
      </w:r>
    </w:p>
    <w:p w14:paraId="64DF5FCC" w14:textId="7F2B9DCE" w:rsidR="00DF015E" w:rsidRDefault="00DF015E" w:rsidP="0008208B">
      <w:pPr>
        <w:pStyle w:val="Paragraphedeliste"/>
        <w:numPr>
          <w:ilvl w:val="0"/>
          <w:numId w:val="2"/>
        </w:numPr>
      </w:pPr>
      <w:r>
        <w:t>de préserver l</w:t>
      </w:r>
      <w:r>
        <w:t>’</w:t>
      </w:r>
      <w:r>
        <w:t>équilibre de sa  structure financière</w:t>
      </w:r>
      <w:r w:rsidR="002B5FAD">
        <w:t> ;</w:t>
      </w:r>
    </w:p>
    <w:p w14:paraId="686AF10B" w14:textId="0907490B" w:rsidR="00DF015E" w:rsidRDefault="00DF015E" w:rsidP="0008208B">
      <w:pPr>
        <w:pStyle w:val="Paragraphedeliste"/>
        <w:numPr>
          <w:ilvl w:val="0"/>
          <w:numId w:val="2"/>
        </w:numPr>
      </w:pPr>
      <w:r>
        <w:t>de préserver son indépendance financière</w:t>
      </w:r>
      <w:r w:rsidR="002B5FAD">
        <w:t> ;</w:t>
      </w:r>
    </w:p>
    <w:p w14:paraId="69AE2E53" w14:textId="7E0366D1" w:rsidR="00DF015E" w:rsidRPr="00314EB6" w:rsidRDefault="00DF015E" w:rsidP="0008208B">
      <w:pPr>
        <w:pStyle w:val="Paragraphedeliste"/>
        <w:numPr>
          <w:ilvl w:val="0"/>
          <w:numId w:val="2"/>
        </w:numPr>
      </w:pPr>
      <w:r>
        <w:t>de conserver un niveau de rentabilité qui garantisse sa p</w:t>
      </w:r>
      <w:r w:rsidR="002B5FAD">
        <w:t>é</w:t>
      </w:r>
      <w:r>
        <w:t>rennité.</w:t>
      </w:r>
    </w:p>
    <w:p w14:paraId="5A34259B" w14:textId="77777777" w:rsidR="00DF015E" w:rsidRDefault="00DF015E" w:rsidP="002B5FAD"/>
    <w:p w14:paraId="1D938407" w14:textId="77777777" w:rsidR="00DF015E" w:rsidRDefault="00DF015E" w:rsidP="002B5FAD"/>
    <w:p w14:paraId="3F3CB66B" w14:textId="77777777" w:rsidR="00DF015E" w:rsidRDefault="00DF015E" w:rsidP="00DF015E">
      <w:pPr>
        <w:rPr>
          <w:rFonts w:ascii="Times New Roman" w:hAnsi="Times New Roman" w:cs="Times New Roman"/>
        </w:rPr>
      </w:pPr>
    </w:p>
    <w:p w14:paraId="172EF15A" w14:textId="77777777" w:rsidR="00DF015E" w:rsidRDefault="00DF015E" w:rsidP="00DF015E">
      <w:pPr>
        <w:rPr>
          <w:rFonts w:ascii="Times New Roman" w:hAnsi="Times New Roman" w:cs="Times New Roman"/>
        </w:rPr>
      </w:pPr>
    </w:p>
    <w:p w14:paraId="16BF864C" w14:textId="2FD1648E" w:rsidR="009A7EAA" w:rsidRPr="009A7EAA" w:rsidRDefault="003A7F1A" w:rsidP="008A0A64">
      <w:r>
        <w:rPr>
          <w:noProof/>
        </w:rPr>
        <w:drawing>
          <wp:inline distT="0" distB="0" distL="0" distR="0" wp14:anchorId="0F0B5B47" wp14:editId="09267228">
            <wp:extent cx="5760720" cy="2435860"/>
            <wp:effectExtent l="0" t="0" r="0" b="254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1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EAA" w:rsidRPr="009A7E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A3DE" w14:textId="77777777" w:rsidR="0008208B" w:rsidRDefault="0008208B" w:rsidP="00A715E6">
      <w:r>
        <w:separator/>
      </w:r>
    </w:p>
  </w:endnote>
  <w:endnote w:type="continuationSeparator" w:id="0">
    <w:p w14:paraId="75B69DF9" w14:textId="77777777" w:rsidR="0008208B" w:rsidRDefault="0008208B" w:rsidP="00A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Rounded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F6EE" w14:textId="77777777" w:rsidR="006F664C" w:rsidRDefault="006F664C" w:rsidP="00A715E6">
    <w:pPr>
      <w:pStyle w:val="Pieddepage"/>
    </w:pPr>
    <w:r>
      <w:t>© Delagrave</w:t>
    </w:r>
  </w:p>
  <w:p w14:paraId="1228EF6A" w14:textId="77777777" w:rsidR="006F664C" w:rsidRDefault="006F664C" w:rsidP="00A71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1DBA" w14:textId="77777777" w:rsidR="0008208B" w:rsidRDefault="0008208B" w:rsidP="00A715E6">
      <w:r>
        <w:separator/>
      </w:r>
    </w:p>
  </w:footnote>
  <w:footnote w:type="continuationSeparator" w:id="0">
    <w:p w14:paraId="4F57B989" w14:textId="77777777" w:rsidR="0008208B" w:rsidRDefault="0008208B" w:rsidP="00A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68E0"/>
    <w:multiLevelType w:val="hybridMultilevel"/>
    <w:tmpl w:val="08F04902"/>
    <w:lvl w:ilvl="0" w:tplc="34109838">
      <w:start w:val="1"/>
      <w:numFmt w:val="decimal"/>
      <w:pStyle w:val="Titre2"/>
      <w:lvlText w:val="%1."/>
      <w:lvlJc w:val="left"/>
      <w:pPr>
        <w:ind w:left="360" w:hanging="360"/>
      </w:pPr>
    </w:lvl>
    <w:lvl w:ilvl="1" w:tplc="3846233E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5729F"/>
    <w:multiLevelType w:val="hybridMultilevel"/>
    <w:tmpl w:val="13202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E2"/>
    <w:rsid w:val="000121C8"/>
    <w:rsid w:val="00051F5C"/>
    <w:rsid w:val="0008208B"/>
    <w:rsid w:val="00102E1C"/>
    <w:rsid w:val="00136335"/>
    <w:rsid w:val="001573AC"/>
    <w:rsid w:val="001B4D1C"/>
    <w:rsid w:val="001B5DE2"/>
    <w:rsid w:val="001E63E0"/>
    <w:rsid w:val="001F236C"/>
    <w:rsid w:val="0020325A"/>
    <w:rsid w:val="00206267"/>
    <w:rsid w:val="002B5FAD"/>
    <w:rsid w:val="003521D7"/>
    <w:rsid w:val="003525DC"/>
    <w:rsid w:val="00356543"/>
    <w:rsid w:val="003A6F4D"/>
    <w:rsid w:val="003A7F1A"/>
    <w:rsid w:val="003B7549"/>
    <w:rsid w:val="00404A02"/>
    <w:rsid w:val="0047131D"/>
    <w:rsid w:val="00471A56"/>
    <w:rsid w:val="004A2233"/>
    <w:rsid w:val="004C33E9"/>
    <w:rsid w:val="00525C0E"/>
    <w:rsid w:val="00553262"/>
    <w:rsid w:val="0056408A"/>
    <w:rsid w:val="005D1398"/>
    <w:rsid w:val="00655693"/>
    <w:rsid w:val="00681F78"/>
    <w:rsid w:val="006A20A6"/>
    <w:rsid w:val="006C3752"/>
    <w:rsid w:val="006F664C"/>
    <w:rsid w:val="00742874"/>
    <w:rsid w:val="00880A2E"/>
    <w:rsid w:val="008A0A64"/>
    <w:rsid w:val="008D3203"/>
    <w:rsid w:val="008D65F8"/>
    <w:rsid w:val="00916B25"/>
    <w:rsid w:val="009517EE"/>
    <w:rsid w:val="00986690"/>
    <w:rsid w:val="009A5D11"/>
    <w:rsid w:val="009A7EAA"/>
    <w:rsid w:val="00A12245"/>
    <w:rsid w:val="00A12BB3"/>
    <w:rsid w:val="00A24130"/>
    <w:rsid w:val="00A6547F"/>
    <w:rsid w:val="00A715E6"/>
    <w:rsid w:val="00A742CC"/>
    <w:rsid w:val="00AF13E7"/>
    <w:rsid w:val="00B77771"/>
    <w:rsid w:val="00B94FF6"/>
    <w:rsid w:val="00BE03ED"/>
    <w:rsid w:val="00BF7364"/>
    <w:rsid w:val="00C04123"/>
    <w:rsid w:val="00C511AB"/>
    <w:rsid w:val="00C73FC0"/>
    <w:rsid w:val="00CA5B74"/>
    <w:rsid w:val="00CB2DB8"/>
    <w:rsid w:val="00CB7E6C"/>
    <w:rsid w:val="00CC3125"/>
    <w:rsid w:val="00D0388E"/>
    <w:rsid w:val="00D71156"/>
    <w:rsid w:val="00DF015E"/>
    <w:rsid w:val="00E213FA"/>
    <w:rsid w:val="00E31277"/>
    <w:rsid w:val="00E71C06"/>
    <w:rsid w:val="00E72EB7"/>
    <w:rsid w:val="00F10F58"/>
    <w:rsid w:val="00F35C1F"/>
    <w:rsid w:val="00F75BD1"/>
    <w:rsid w:val="00FD177E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D54424"/>
  <w15:docId w15:val="{8043AF55-0C98-46AA-BDCD-EB24219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E6"/>
    <w:pPr>
      <w:spacing w:after="200" w:line="276" w:lineRule="auto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2EB7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EB7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EB7"/>
    <w:pPr>
      <w:numPr>
        <w:ilvl w:val="1"/>
      </w:numPr>
      <w:outlineLvl w:val="2"/>
    </w:pPr>
    <w:rPr>
      <w:color w:val="943634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6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B7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72EB7"/>
    <w:rPr>
      <w:rFonts w:ascii="Alwyn New Rounded Lt" w:hAnsi="Alwyn New Rounded Lt" w:cstheme="minorHAnsi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72EB7"/>
    <w:rPr>
      <w:rFonts w:ascii="Alwyn New Rounded Lt" w:hAnsi="Alwyn New Rounded Lt" w:cstheme="minorHAnsi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64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715E6"/>
    <w:pPr>
      <w:ind w:left="720"/>
      <w:contextualSpacing/>
    </w:pPr>
    <w:rPr>
      <w:rFonts w:eastAsiaTheme="minorHAnsi" w:cstheme="minorBidi"/>
    </w:rPr>
  </w:style>
  <w:style w:type="paragraph" w:customStyle="1" w:styleId="07Courstitreniveau2">
    <w:name w:val="07_Cours_titre_niveau_2"/>
    <w:basedOn w:val="Normal"/>
    <w:uiPriority w:val="99"/>
    <w:rsid w:val="003A6F4D"/>
    <w:pPr>
      <w:widowControl w:val="0"/>
      <w:spacing w:before="240" w:after="120" w:line="240" w:lineRule="auto"/>
      <w:ind w:left="720" w:hanging="360"/>
      <w:jc w:val="left"/>
    </w:pPr>
    <w:rPr>
      <w:rFonts w:ascii="Arial" w:eastAsia="Times New Roman" w:hAnsi="Arial" w:cs="Times New Roman"/>
      <w:b/>
      <w:bCs/>
      <w:sz w:val="26"/>
      <w:szCs w:val="24"/>
      <w:lang w:eastAsia="fr-FR"/>
    </w:rPr>
  </w:style>
  <w:style w:type="table" w:styleId="Grilledutableau">
    <w:name w:val="Table Grid"/>
    <w:basedOn w:val="TableauNormal"/>
    <w:uiPriority w:val="59"/>
    <w:rsid w:val="003A6F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521D7"/>
    <w:pPr>
      <w:jc w:val="both"/>
    </w:pPr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8669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lev">
    <w:name w:val="Strong"/>
    <w:qFormat/>
    <w:rsid w:val="009517EE"/>
    <w:rPr>
      <w:b/>
      <w:bCs/>
    </w:rPr>
  </w:style>
  <w:style w:type="paragraph" w:customStyle="1" w:styleId="Contenudetableau">
    <w:name w:val="Contenu de tableau"/>
    <w:basedOn w:val="Normal"/>
    <w:rsid w:val="009517EE"/>
    <w:pPr>
      <w:suppressLineNumbers/>
      <w:suppressAutoHyphens/>
      <w:spacing w:after="0" w:line="240" w:lineRule="auto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D1398"/>
    <w:pPr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24kjd">
    <w:name w:val="e24kjd"/>
    <w:basedOn w:val="Policepardfaut"/>
    <w:rsid w:val="009A7EAA"/>
  </w:style>
  <w:style w:type="character" w:styleId="Marquedecommentaire">
    <w:name w:val="annotation reference"/>
    <w:basedOn w:val="Policepardfaut"/>
    <w:uiPriority w:val="99"/>
    <w:semiHidden/>
    <w:unhideWhenUsed/>
    <w:rsid w:val="009A7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7E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7EAA"/>
    <w:rPr>
      <w:rFonts w:asciiTheme="minorHAnsi" w:hAnsiTheme="minorHAnsi" w:cs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EAA"/>
    <w:rPr>
      <w:rFonts w:asciiTheme="minorHAnsi" w:hAnsiTheme="minorHAnsi" w:cstheme="minorHAnsi"/>
      <w:b/>
      <w:bCs/>
      <w:lang w:eastAsia="en-US"/>
    </w:rPr>
  </w:style>
  <w:style w:type="paragraph" w:customStyle="1" w:styleId="Txtcourant">
    <w:name w:val="Txt_courant"/>
    <w:basedOn w:val="Normal"/>
    <w:uiPriority w:val="99"/>
    <w:rsid w:val="001E63E0"/>
    <w:pPr>
      <w:widowControl w:val="0"/>
      <w:autoSpaceDE w:val="0"/>
      <w:autoSpaceDN w:val="0"/>
      <w:adjustRightInd w:val="0"/>
      <w:spacing w:after="0" w:line="280" w:lineRule="atLeast"/>
      <w:ind w:left="448"/>
      <w:jc w:val="left"/>
    </w:pPr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anne bonpain</cp:lastModifiedBy>
  <cp:revision>6</cp:revision>
  <dcterms:created xsi:type="dcterms:W3CDTF">2020-04-03T10:25:00Z</dcterms:created>
  <dcterms:modified xsi:type="dcterms:W3CDTF">2020-04-03T10:50:00Z</dcterms:modified>
</cp:coreProperties>
</file>