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1D81AD" w14:textId="6DA4F75D" w:rsidR="00136335" w:rsidRDefault="00D0388E" w:rsidP="00136335">
      <w:pPr>
        <w:rPr>
          <w:rFonts w:cstheme="minorBidi"/>
          <w:b/>
        </w:rPr>
      </w:pPr>
      <w:r>
        <w:rPr>
          <w:noProof/>
          <w:lang w:eastAsia="fr-FR"/>
        </w:rPr>
        <w:pict w14:anchorId="2FFB9C6D">
          <v:group id="_x0000_s1035" style="position:absolute;left:0;text-align:left;margin-left:0;margin-top:0;width:453.6pt;height:84.65pt;z-index:251666432;mso-position-horizontal:center;mso-position-horizontal-relative:margin;mso-position-vertical:top;mso-position-vertical-relative:margin" coordorigin="1417,1417" coordsize="9072,16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4844;top:1417;width:5645;height:1693;mso-position-horizontal:right;mso-position-horizontal-relative:margin;mso-position-vertical:top;mso-position-vertical-relative:margin">
              <v:imagedata r:id="rId7" o:title="gestion-finance"/>
            </v:shape>
            <v:group id="_x0000_s1034" style="position:absolute;left:1417;top:1574;width:3076;height:1379" coordorigin="1417,1424" coordsize="3076,1379">
              <v:shape id="_x0000_s1032" type="#_x0000_t75" style="position:absolute;left:1417;top:1424;width:3076;height:852;mso-position-horizontal:left;mso-position-horizontal-relative:margin;mso-position-vertical:top;mso-position-vertical-relative:margin">
                <v:imagedata r:id="rId8" o:title="essentiel"/>
              </v:shape>
              <v:shape id="_x0000_s1033" type="#_x0000_t75" style="position:absolute;left:2025;top:2236;width:1859;height:567;mso-position-horizontal-relative:text;mso-position-vertical-relative:text;mso-width-relative:page;mso-height-relative:page">
                <v:imagedata r:id="rId9" o:title="tle"/>
              </v:shape>
            </v:group>
            <w10:wrap type="square" anchorx="margin" anchory="margin"/>
          </v:group>
        </w:pict>
      </w:r>
    </w:p>
    <w:p w14:paraId="16BF864C" w14:textId="12D40BBB" w:rsidR="009A7EAA" w:rsidRPr="009A7EAA" w:rsidRDefault="009A7EAA" w:rsidP="009A7EAA">
      <w:pPr>
        <w:pStyle w:val="Titre1"/>
        <w:jc w:val="left"/>
      </w:pPr>
      <w:r w:rsidRPr="009A7EAA">
        <w:t>Chapitre 10 : L’analyse de la profitabilité de l’entreprise</w:t>
      </w:r>
    </w:p>
    <w:p w14:paraId="452C3046" w14:textId="77777777" w:rsidR="009A7EAA" w:rsidRPr="007F7200" w:rsidRDefault="009A7EAA" w:rsidP="009A7EAA">
      <w:r w:rsidRPr="007F7200">
        <w:rPr>
          <w:shd w:val="clear" w:color="auto" w:fill="FFFFFF"/>
          <w:lang w:eastAsia="zh-CN" w:bidi="hi-IN"/>
        </w:rPr>
        <w:t>La profitabilité d’une entreprise est sa capacité à générer du profit dans le cadre de son activité économique.</w:t>
      </w:r>
      <w:r w:rsidRPr="007F7200">
        <w:t xml:space="preserve"> </w:t>
      </w:r>
    </w:p>
    <w:p w14:paraId="4B44BD74" w14:textId="05183431" w:rsidR="009A7EAA" w:rsidRPr="009A7EAA" w:rsidRDefault="009A7EAA" w:rsidP="009A7EAA">
      <w:pPr>
        <w:jc w:val="center"/>
        <w:rPr>
          <w:b/>
          <w:bCs/>
          <w:shd w:val="clear" w:color="auto" w:fill="FFFFFF"/>
          <w:lang w:eastAsia="zh-CN" w:bidi="hi-IN"/>
        </w:rPr>
      </w:pPr>
      <w:r w:rsidRPr="009A7EAA">
        <w:rPr>
          <w:b/>
          <w:bCs/>
          <w:shd w:val="clear" w:color="auto" w:fill="FFFFFF"/>
          <w:lang w:eastAsia="zh-CN" w:bidi="hi-IN"/>
        </w:rPr>
        <w:t>Taux de profitabilité = (Résultat net/CA</w:t>
      </w:r>
      <w:r w:rsidR="00F75BD1">
        <w:rPr>
          <w:b/>
          <w:bCs/>
          <w:shd w:val="clear" w:color="auto" w:fill="FFFFFF"/>
          <w:lang w:eastAsia="zh-CN" w:bidi="hi-IN"/>
        </w:rPr>
        <w:t> </w:t>
      </w:r>
      <w:r w:rsidRPr="009A7EAA">
        <w:rPr>
          <w:b/>
          <w:bCs/>
          <w:shd w:val="clear" w:color="auto" w:fill="FFFFFF"/>
          <w:lang w:eastAsia="zh-CN" w:bidi="hi-IN"/>
        </w:rPr>
        <w:t xml:space="preserve">HT) </w:t>
      </w:r>
      <w:r>
        <w:rPr>
          <w:b/>
          <w:bCs/>
          <w:shd w:val="clear" w:color="auto" w:fill="FFFFFF"/>
          <w:lang w:eastAsia="zh-CN" w:bidi="hi-IN"/>
        </w:rPr>
        <w:t>×</w:t>
      </w:r>
      <w:r w:rsidRPr="009A7EAA">
        <w:rPr>
          <w:b/>
          <w:bCs/>
          <w:shd w:val="clear" w:color="auto" w:fill="FFFFFF"/>
          <w:lang w:eastAsia="zh-CN" w:bidi="hi-IN"/>
        </w:rPr>
        <w:t xml:space="preserve"> 100</w:t>
      </w:r>
    </w:p>
    <w:p w14:paraId="2724E4AF" w14:textId="77777777" w:rsidR="009A7EAA" w:rsidRPr="007F7200" w:rsidRDefault="009A7EAA" w:rsidP="009A7EAA">
      <w:pPr>
        <w:spacing w:after="0"/>
        <w:rPr>
          <w:rFonts w:ascii="Times New Roman" w:eastAsia="NSimSun" w:hAnsi="Times New Roman" w:cs="Times New Roman"/>
          <w:kern w:val="2"/>
          <w:sz w:val="24"/>
          <w:szCs w:val="24"/>
          <w:shd w:val="clear" w:color="auto" w:fill="FFFFFF"/>
          <w:lang w:eastAsia="zh-CN" w:bidi="hi-IN"/>
        </w:rPr>
      </w:pPr>
    </w:p>
    <w:p w14:paraId="4D65C35F" w14:textId="77777777" w:rsidR="009A7EAA" w:rsidRPr="001527D4" w:rsidRDefault="009A7EAA" w:rsidP="009A7EAA">
      <w:pPr>
        <w:pStyle w:val="Titre2"/>
        <w:jc w:val="left"/>
        <w:rPr>
          <w:shd w:val="clear" w:color="auto" w:fill="FFFFFF"/>
          <w:lang w:eastAsia="zh-CN" w:bidi="hi-IN"/>
        </w:rPr>
      </w:pPr>
      <w:r w:rsidRPr="001527D4">
        <w:rPr>
          <w:shd w:val="clear" w:color="auto" w:fill="FFFFFF"/>
          <w:lang w:eastAsia="zh-CN" w:bidi="hi-IN"/>
        </w:rPr>
        <w:t>Le calcul des indicateurs de profitabilité : EBE, résultat d’exploitation et RCAI</w:t>
      </w:r>
    </w:p>
    <w:p w14:paraId="5E798BB1" w14:textId="78CF2947" w:rsidR="009A7EAA" w:rsidRDefault="009A7EAA" w:rsidP="009A7EAA">
      <w:r w:rsidRPr="007F7200">
        <w:t>Les soldes intermédiaires de gestion (SIG)</w:t>
      </w:r>
      <w:r w:rsidR="00916B25">
        <w:rPr>
          <w:b/>
          <w:bCs/>
        </w:rPr>
        <w:t xml:space="preserve"> </w:t>
      </w:r>
      <w:r w:rsidRPr="007F7200">
        <w:t xml:space="preserve">font ressortir une suite de différences, ou soldes, entre certains produits et certaines charges. L’objectif est de mettre en évidence les étapes de la formation du résultat net. Ce résultat </w:t>
      </w:r>
      <w:r>
        <w:t>est obtenu suite aux calculs en cascade</w:t>
      </w:r>
      <w:r w:rsidRPr="007F7200">
        <w:t xml:space="preserve"> des SIG suivants :</w:t>
      </w:r>
    </w:p>
    <w:p w14:paraId="77F0DF23" w14:textId="052F7178" w:rsidR="009A7EAA" w:rsidRDefault="009A7EAA" w:rsidP="009A7EAA">
      <w:pPr>
        <w:pStyle w:val="Paragraphedeliste"/>
        <w:numPr>
          <w:ilvl w:val="0"/>
          <w:numId w:val="31"/>
        </w:numPr>
      </w:pPr>
      <w:r w:rsidRPr="007F7200">
        <w:t>la marge commerciale (pour les entreprises commerciales)</w:t>
      </w:r>
      <w:r>
        <w:t> ;</w:t>
      </w:r>
    </w:p>
    <w:p w14:paraId="6EAD39BF" w14:textId="5CEFCE5B" w:rsidR="009A7EAA" w:rsidRDefault="009A7EAA" w:rsidP="009A7EAA">
      <w:pPr>
        <w:pStyle w:val="Paragraphedeliste"/>
        <w:numPr>
          <w:ilvl w:val="0"/>
          <w:numId w:val="31"/>
        </w:numPr>
      </w:pPr>
      <w:r w:rsidRPr="007F7200">
        <w:t>la production de l’exercice (pour les entreprises industrielles)</w:t>
      </w:r>
      <w:r>
        <w:t> ;</w:t>
      </w:r>
    </w:p>
    <w:p w14:paraId="068D544B" w14:textId="4B5E7849" w:rsidR="009A7EAA" w:rsidRDefault="009A7EAA" w:rsidP="009A7EAA">
      <w:pPr>
        <w:pStyle w:val="Paragraphedeliste"/>
        <w:numPr>
          <w:ilvl w:val="0"/>
          <w:numId w:val="31"/>
        </w:numPr>
      </w:pPr>
      <w:r w:rsidRPr="007F7200">
        <w:t>la valeur ajoutée</w:t>
      </w:r>
      <w:r>
        <w:t> ;</w:t>
      </w:r>
    </w:p>
    <w:p w14:paraId="76E7771E" w14:textId="7C29F44C" w:rsidR="009A7EAA" w:rsidRDefault="009A7EAA" w:rsidP="009A7EAA">
      <w:pPr>
        <w:pStyle w:val="Paragraphedeliste"/>
        <w:numPr>
          <w:ilvl w:val="0"/>
          <w:numId w:val="31"/>
        </w:numPr>
      </w:pPr>
      <w:r w:rsidRPr="007F7200">
        <w:t>l’excédent brut d’exploitation</w:t>
      </w:r>
      <w:r>
        <w:t> ;</w:t>
      </w:r>
    </w:p>
    <w:p w14:paraId="28D1AABE" w14:textId="10D4CAA9" w:rsidR="009A7EAA" w:rsidRDefault="009A7EAA" w:rsidP="009A7EAA">
      <w:pPr>
        <w:pStyle w:val="Paragraphedeliste"/>
        <w:numPr>
          <w:ilvl w:val="0"/>
          <w:numId w:val="31"/>
        </w:numPr>
      </w:pPr>
      <w:r w:rsidRPr="007F7200">
        <w:t>le résultat d’exploitation</w:t>
      </w:r>
      <w:r>
        <w:t> ;</w:t>
      </w:r>
    </w:p>
    <w:p w14:paraId="0E9003C8" w14:textId="5E34096B" w:rsidR="009A7EAA" w:rsidRDefault="009A7EAA" w:rsidP="009A7EAA">
      <w:pPr>
        <w:pStyle w:val="Paragraphedeliste"/>
        <w:numPr>
          <w:ilvl w:val="0"/>
          <w:numId w:val="31"/>
        </w:numPr>
      </w:pPr>
      <w:r w:rsidRPr="007F7200">
        <w:t xml:space="preserve">et </w:t>
      </w:r>
      <w:r>
        <w:t xml:space="preserve">enfin </w:t>
      </w:r>
      <w:r w:rsidRPr="007F7200">
        <w:t>le résultat courant avant impôt.</w:t>
      </w:r>
    </w:p>
    <w:p w14:paraId="45EDD171" w14:textId="77777777" w:rsidR="009A7EAA" w:rsidRPr="007F7200" w:rsidRDefault="009A7EAA" w:rsidP="00916B25"/>
    <w:p w14:paraId="4F88C852" w14:textId="5C482B91" w:rsidR="009A7EAA" w:rsidRPr="001527D4" w:rsidRDefault="009A7EAA" w:rsidP="00F75BD1">
      <w:pPr>
        <w:pStyle w:val="Titre3"/>
      </w:pPr>
      <w:r w:rsidRPr="001527D4">
        <w:t>L’</w:t>
      </w:r>
      <w:r w:rsidR="00916B25">
        <w:t>e</w:t>
      </w:r>
      <w:r w:rsidRPr="001527D4">
        <w:t>xcédent brut d’exploitation (EBE)</w:t>
      </w:r>
    </w:p>
    <w:p w14:paraId="4D79DDAF" w14:textId="77777777" w:rsidR="009A7EAA" w:rsidRPr="007F7200" w:rsidRDefault="009A7EAA" w:rsidP="00916B25">
      <w:pPr>
        <w:rPr>
          <w:shd w:val="clear" w:color="auto" w:fill="FFFFFF"/>
          <w:lang w:eastAsia="zh-CN" w:bidi="hi-IN"/>
        </w:rPr>
      </w:pPr>
      <w:r w:rsidRPr="007F7200">
        <w:rPr>
          <w:shd w:val="clear" w:color="auto" w:fill="FFFFFF"/>
          <w:lang w:eastAsia="zh-CN" w:bidi="hi-IN"/>
        </w:rPr>
        <w:t>Pour calculer l’excédent brut d’exploitation, il faut d’abord calculer la marge commerciale, la production de l’exercice puis la valeur ajoutée.</w:t>
      </w:r>
    </w:p>
    <w:p w14:paraId="573A71FE" w14:textId="0C96EDA2" w:rsidR="009A7EAA" w:rsidRPr="007F7200" w:rsidRDefault="009A7EAA" w:rsidP="00916B25">
      <w:pPr>
        <w:rPr>
          <w:shd w:val="clear" w:color="auto" w:fill="FFFFFF"/>
          <w:lang w:eastAsia="zh-CN" w:bidi="hi-IN"/>
        </w:rPr>
      </w:pPr>
      <w:r w:rsidRPr="007F7200">
        <w:rPr>
          <w:shd w:val="clear" w:color="auto" w:fill="FFFFFF"/>
          <w:lang w:eastAsia="zh-CN" w:bidi="hi-IN"/>
        </w:rPr>
        <w:t>La marge commerciale n’existe que dans les entreprises commerciales qui achètent des marchandises</w:t>
      </w:r>
      <w:r>
        <w:rPr>
          <w:shd w:val="clear" w:color="auto" w:fill="FFFFFF"/>
          <w:lang w:eastAsia="zh-CN" w:bidi="hi-IN"/>
        </w:rPr>
        <w:t xml:space="preserve"> pour les</w:t>
      </w:r>
      <w:r w:rsidRPr="007F7200">
        <w:rPr>
          <w:shd w:val="clear" w:color="auto" w:fill="FFFFFF"/>
          <w:lang w:eastAsia="zh-CN" w:bidi="hi-IN"/>
        </w:rPr>
        <w:t xml:space="preserve"> reven</w:t>
      </w:r>
      <w:r>
        <w:rPr>
          <w:shd w:val="clear" w:color="auto" w:fill="FFFFFF"/>
          <w:lang w:eastAsia="zh-CN" w:bidi="hi-IN"/>
        </w:rPr>
        <w:t>dre</w:t>
      </w:r>
      <w:r w:rsidRPr="007F7200">
        <w:rPr>
          <w:shd w:val="clear" w:color="auto" w:fill="FFFFFF"/>
          <w:lang w:eastAsia="zh-CN" w:bidi="hi-IN"/>
        </w:rPr>
        <w:t xml:space="preserve">. Elle </w:t>
      </w:r>
      <w:r w:rsidR="00916B25">
        <w:rPr>
          <w:shd w:val="clear" w:color="auto" w:fill="FFFFFF"/>
          <w:lang w:eastAsia="zh-CN" w:bidi="hi-IN"/>
        </w:rPr>
        <w:t>est calculé</w:t>
      </w:r>
      <w:r w:rsidR="00AF13E7">
        <w:rPr>
          <w:shd w:val="clear" w:color="auto" w:fill="FFFFFF"/>
          <w:lang w:eastAsia="zh-CN" w:bidi="hi-IN"/>
        </w:rPr>
        <w:t>e</w:t>
      </w:r>
      <w:r w:rsidR="00916B25">
        <w:rPr>
          <w:shd w:val="clear" w:color="auto" w:fill="FFFFFF"/>
          <w:lang w:eastAsia="zh-CN" w:bidi="hi-IN"/>
        </w:rPr>
        <w:t xml:space="preserve"> </w:t>
      </w:r>
      <w:r w:rsidRPr="007F7200">
        <w:rPr>
          <w:shd w:val="clear" w:color="auto" w:fill="FFFFFF"/>
          <w:lang w:eastAsia="zh-CN" w:bidi="hi-IN"/>
        </w:rPr>
        <w:t xml:space="preserve">de la manière suivante : </w:t>
      </w:r>
    </w:p>
    <w:p w14:paraId="7833FAEE" w14:textId="77777777" w:rsidR="009A7EAA" w:rsidRPr="00916B25" w:rsidRDefault="009A7EAA" w:rsidP="00916B25">
      <w:pPr>
        <w:jc w:val="center"/>
        <w:rPr>
          <w:b/>
          <w:bCs/>
          <w:shd w:val="clear" w:color="auto" w:fill="FFFFFF"/>
          <w:lang w:eastAsia="zh-CN" w:bidi="hi-IN"/>
        </w:rPr>
      </w:pPr>
      <w:r w:rsidRPr="00916B25">
        <w:rPr>
          <w:b/>
          <w:bCs/>
          <w:shd w:val="clear" w:color="auto" w:fill="FFFFFF"/>
          <w:lang w:eastAsia="zh-CN" w:bidi="hi-IN"/>
        </w:rPr>
        <w:t>Marge commerciale = ventes de marchandises (compte 607) – coûts d’achat des marchandises vendues (compte 607 + ou – compte 6037 variation des stocks de marchandises)</w:t>
      </w:r>
    </w:p>
    <w:p w14:paraId="7BBC1424" w14:textId="77C816E0" w:rsidR="009A7EAA" w:rsidRPr="007F7200" w:rsidRDefault="009A7EAA" w:rsidP="00916B25">
      <w:pPr>
        <w:rPr>
          <w:shd w:val="clear" w:color="auto" w:fill="FFFFFF"/>
          <w:lang w:eastAsia="zh-CN" w:bidi="hi-IN"/>
        </w:rPr>
      </w:pPr>
      <w:r w:rsidRPr="007F7200">
        <w:rPr>
          <w:shd w:val="clear" w:color="auto" w:fill="FFFFFF"/>
          <w:lang w:eastAsia="zh-CN" w:bidi="hi-IN"/>
        </w:rPr>
        <w:t xml:space="preserve">La production de l’exercice n’existe que dans les entreprises industrielles qui achètent des matières qu’elles transforment en produits finis. </w:t>
      </w:r>
      <w:r w:rsidR="00AF13E7">
        <w:rPr>
          <w:shd w:val="clear" w:color="auto" w:fill="FFFFFF"/>
          <w:lang w:eastAsia="zh-CN" w:bidi="hi-IN"/>
        </w:rPr>
        <w:t>Elle</w:t>
      </w:r>
      <w:r w:rsidRPr="007F7200">
        <w:rPr>
          <w:shd w:val="clear" w:color="auto" w:fill="FFFFFF"/>
          <w:lang w:eastAsia="zh-CN" w:bidi="hi-IN"/>
        </w:rPr>
        <w:t xml:space="preserve"> </w:t>
      </w:r>
      <w:r w:rsidR="00916B25">
        <w:rPr>
          <w:shd w:val="clear" w:color="auto" w:fill="FFFFFF"/>
          <w:lang w:eastAsia="zh-CN" w:bidi="hi-IN"/>
        </w:rPr>
        <w:t>est calculée</w:t>
      </w:r>
      <w:r w:rsidRPr="007F7200">
        <w:rPr>
          <w:shd w:val="clear" w:color="auto" w:fill="FFFFFF"/>
          <w:lang w:eastAsia="zh-CN" w:bidi="hi-IN"/>
        </w:rPr>
        <w:t xml:space="preserve"> de la manière suivante :</w:t>
      </w:r>
    </w:p>
    <w:p w14:paraId="15A1EA08" w14:textId="14F8575A" w:rsidR="009A7EAA" w:rsidRPr="00916B25" w:rsidRDefault="009A7EAA" w:rsidP="00916B25">
      <w:pPr>
        <w:jc w:val="center"/>
        <w:rPr>
          <w:b/>
          <w:bCs/>
          <w:shd w:val="clear" w:color="auto" w:fill="FFFFFF"/>
          <w:lang w:eastAsia="zh-CN" w:bidi="hi-IN"/>
        </w:rPr>
      </w:pPr>
      <w:r w:rsidRPr="00916B25">
        <w:rPr>
          <w:b/>
          <w:bCs/>
          <w:shd w:val="clear" w:color="auto" w:fill="FFFFFF"/>
          <w:lang w:eastAsia="zh-CN" w:bidi="hi-IN"/>
        </w:rPr>
        <w:lastRenderedPageBreak/>
        <w:t xml:space="preserve">Production de l’exercice = production vendue + production stockée </w:t>
      </w:r>
      <w:r w:rsidR="00E71C06">
        <w:rPr>
          <w:b/>
          <w:bCs/>
          <w:shd w:val="clear" w:color="auto" w:fill="FFFFFF"/>
          <w:lang w:eastAsia="zh-CN" w:bidi="hi-IN"/>
        </w:rPr>
        <w:br/>
      </w:r>
      <w:r w:rsidRPr="00916B25">
        <w:rPr>
          <w:b/>
          <w:bCs/>
          <w:shd w:val="clear" w:color="auto" w:fill="FFFFFF"/>
          <w:lang w:eastAsia="zh-CN" w:bidi="hi-IN"/>
        </w:rPr>
        <w:t>(ou – déstockage de production)</w:t>
      </w:r>
    </w:p>
    <w:p w14:paraId="1D17734A" w14:textId="18858A0D" w:rsidR="009A7EAA" w:rsidRPr="007F7200" w:rsidRDefault="009A7EAA" w:rsidP="00916B25">
      <w:r w:rsidRPr="007F7200">
        <w:t xml:space="preserve">La valeur ajoutée (VA) correspond à la richesse créée par l’entreprise au cours de son activité. </w:t>
      </w:r>
      <w:r w:rsidR="00AF13E7">
        <w:t xml:space="preserve">Elle </w:t>
      </w:r>
      <w:r w:rsidR="00916B25">
        <w:t xml:space="preserve">est calculée </w:t>
      </w:r>
      <w:r w:rsidRPr="007F7200">
        <w:t>de la manière suivante :</w:t>
      </w:r>
    </w:p>
    <w:p w14:paraId="27AEAD3C" w14:textId="395F381C" w:rsidR="009A7EAA" w:rsidRPr="00E71C06" w:rsidRDefault="009A7EAA" w:rsidP="00E71C06">
      <w:pPr>
        <w:jc w:val="center"/>
        <w:rPr>
          <w:b/>
          <w:bCs/>
        </w:rPr>
      </w:pPr>
      <w:r w:rsidRPr="00E71C06">
        <w:rPr>
          <w:b/>
          <w:bCs/>
        </w:rPr>
        <w:t xml:space="preserve">VA = marge commerciale + production vendue – consommations intermédiaires </w:t>
      </w:r>
      <w:r w:rsidR="00E71C06">
        <w:rPr>
          <w:b/>
          <w:bCs/>
        </w:rPr>
        <w:br/>
      </w:r>
      <w:r w:rsidRPr="00E71C06">
        <w:rPr>
          <w:b/>
          <w:bCs/>
        </w:rPr>
        <w:t>(= 601 + 6031 + 61 + 62)</w:t>
      </w:r>
    </w:p>
    <w:p w14:paraId="5D90D3F1" w14:textId="3AC62013" w:rsidR="009A7EAA" w:rsidRPr="00F75BD1" w:rsidRDefault="009A7EAA" w:rsidP="00916B25">
      <w:pPr>
        <w:rPr>
          <w:i/>
          <w:iCs/>
        </w:rPr>
      </w:pPr>
      <w:r w:rsidRPr="007F7200">
        <w:t>Les consommations intermédiaires correspondent à l’ensemble des biens et services extérieurs nécessaires à la réalisation de l’activité de l’entreprise</w:t>
      </w:r>
      <w:r>
        <w:t>.</w:t>
      </w:r>
      <w:r w:rsidR="00AF13E7">
        <w:t xml:space="preserve"> </w:t>
      </w:r>
      <w:r w:rsidRPr="00F75BD1">
        <w:rPr>
          <w:i/>
          <w:iCs/>
        </w:rPr>
        <w:t xml:space="preserve">Exemples : l’électricité, les autres approvisionnements comme </w:t>
      </w:r>
      <w:r w:rsidR="00AF13E7">
        <w:rPr>
          <w:i/>
          <w:iCs/>
        </w:rPr>
        <w:t xml:space="preserve">des </w:t>
      </w:r>
      <w:r w:rsidRPr="00F75BD1">
        <w:rPr>
          <w:i/>
          <w:iCs/>
        </w:rPr>
        <w:t>fournitures de bureau ou le loyer des locaux.</w:t>
      </w:r>
    </w:p>
    <w:p w14:paraId="143983E5" w14:textId="5ABDBFC9" w:rsidR="009A7EAA" w:rsidRPr="00F75BD1" w:rsidRDefault="009A7EAA" w:rsidP="00F75BD1">
      <w:r w:rsidRPr="00F75BD1">
        <w:t>L’excédent brut d’exploitation détermine</w:t>
      </w:r>
      <w:r w:rsidRPr="00F75BD1">
        <w:rPr>
          <w:rStyle w:val="e24kjd"/>
        </w:rPr>
        <w:t xml:space="preserve"> le résultat qu'une entreprise tire normalement de son cycle d'exploitation, sans tenir compte des politiques d’investissement (amortissements non compris) ni de financement (charges d’intérêts non comprises) de l’entreprise. L’EBE </w:t>
      </w:r>
      <w:r w:rsidR="00AF13E7">
        <w:t xml:space="preserve">est calculé </w:t>
      </w:r>
      <w:r w:rsidRPr="00F75BD1">
        <w:t>de la manière suivante :</w:t>
      </w:r>
    </w:p>
    <w:p w14:paraId="0B17CF9C" w14:textId="6B9AD893" w:rsidR="009A7EAA" w:rsidRPr="00F75BD1" w:rsidRDefault="009A7EAA" w:rsidP="00F75BD1">
      <w:pPr>
        <w:jc w:val="center"/>
        <w:rPr>
          <w:b/>
          <w:bCs/>
        </w:rPr>
      </w:pPr>
      <w:r w:rsidRPr="00F75BD1">
        <w:rPr>
          <w:b/>
          <w:bCs/>
        </w:rPr>
        <w:t>EBE = VA + subvention d’exploitation – impôts – charges de personnel</w:t>
      </w:r>
    </w:p>
    <w:p w14:paraId="0BB5F979" w14:textId="77777777" w:rsidR="009A7EAA" w:rsidRPr="007F7200" w:rsidRDefault="009A7EAA" w:rsidP="00F75BD1">
      <w:r w:rsidRPr="007F7200">
        <w:t>C’est donc l’excédent potentiel généré par les activités d’exploitation de l’entreprise. C’est donc un indicateur qui permet de mesurer la performance industrielle et commerciale de l’entreprise.</w:t>
      </w:r>
    </w:p>
    <w:p w14:paraId="5B53AE1B" w14:textId="77777777" w:rsidR="009A7EAA" w:rsidRPr="007F7200" w:rsidRDefault="009A7EAA" w:rsidP="009A7EAA">
      <w:pPr>
        <w:spacing w:after="0"/>
        <w:rPr>
          <w:rFonts w:ascii="Times New Roman" w:hAnsi="Times New Roman" w:cs="Times New Roman"/>
          <w:sz w:val="24"/>
          <w:szCs w:val="24"/>
        </w:rPr>
      </w:pPr>
    </w:p>
    <w:p w14:paraId="344B2C5C" w14:textId="77777777" w:rsidR="009A7EAA" w:rsidRPr="001527D4" w:rsidRDefault="009A7EAA" w:rsidP="00916B25">
      <w:pPr>
        <w:pStyle w:val="Titre3"/>
      </w:pPr>
      <w:r w:rsidRPr="001527D4">
        <w:t>Le résultat d’exploitation (RE)</w:t>
      </w:r>
    </w:p>
    <w:p w14:paraId="46670DD4" w14:textId="3B2F1702" w:rsidR="009A7EAA" w:rsidRPr="007F7200" w:rsidRDefault="009A7EAA" w:rsidP="00F75BD1">
      <w:r w:rsidRPr="007F7200">
        <w:t xml:space="preserve">Le résultat d’exploitation est le résultat dégagé par les activités d’exploitation de l’entreprise. Il </w:t>
      </w:r>
      <w:r w:rsidR="00F75BD1">
        <w:t>est</w:t>
      </w:r>
      <w:r w:rsidRPr="007F7200">
        <w:t xml:space="preserve"> calcul</w:t>
      </w:r>
      <w:r w:rsidR="00F75BD1">
        <w:t>é</w:t>
      </w:r>
      <w:r w:rsidRPr="007F7200">
        <w:t xml:space="preserve"> de la manière suivante</w:t>
      </w:r>
      <w:r w:rsidR="00F75BD1">
        <w:t xml:space="preserve"> </w:t>
      </w:r>
      <w:r w:rsidRPr="007F7200">
        <w:t>à partir de l’EBE</w:t>
      </w:r>
      <w:r w:rsidR="00F75BD1">
        <w:t> :</w:t>
      </w:r>
    </w:p>
    <w:p w14:paraId="27A14682" w14:textId="26B593BC" w:rsidR="009A7EAA" w:rsidRPr="00F75BD1" w:rsidRDefault="009A7EAA" w:rsidP="00F75BD1">
      <w:pPr>
        <w:jc w:val="center"/>
        <w:rPr>
          <w:b/>
          <w:bCs/>
        </w:rPr>
      </w:pPr>
      <w:r w:rsidRPr="00F75BD1">
        <w:rPr>
          <w:b/>
          <w:bCs/>
        </w:rPr>
        <w:t>RE = EBE + autres produits + reprises sur dépréciations – autres charges – dotations aux amortissements</w:t>
      </w:r>
    </w:p>
    <w:p w14:paraId="711ABDF8" w14:textId="1EF153AA" w:rsidR="009A7EAA" w:rsidRPr="007F7200" w:rsidRDefault="009A7EAA" w:rsidP="00F75BD1">
      <w:r w:rsidRPr="007F7200">
        <w:t xml:space="preserve">On peut vérifier ce calcul en faisant la différence entre les produits d’exploitation et les charges d’exploitation. </w:t>
      </w:r>
    </w:p>
    <w:p w14:paraId="29F6BDA5" w14:textId="77777777" w:rsidR="009A7EAA" w:rsidRPr="00F75BD1" w:rsidRDefault="009A7EAA" w:rsidP="00F75BD1">
      <w:r w:rsidRPr="00F75BD1">
        <w:rPr>
          <w:rStyle w:val="e24kjd"/>
        </w:rPr>
        <w:t>Le résultat d’exploitation est un indicateur financier qui mesure la performance de l’activité de l’entreprise sans</w:t>
      </w:r>
      <w:r w:rsidRPr="00F75BD1">
        <w:t xml:space="preserve"> prendre en compte les éléments financiers, les éléments exceptionnels et l’</w:t>
      </w:r>
      <w:hyperlink r:id="rId10" w:tgtFrame="_blank" w:history="1">
        <w:r w:rsidRPr="00F75BD1">
          <w:t>impôt sur les sociétés</w:t>
        </w:r>
      </w:hyperlink>
      <w:r w:rsidRPr="00F75BD1">
        <w:t>. En effet, ceux-ci n’ont pas de lien direct avec le cycle d’exploitation alors qu’ils peuvent impacter le résultat comptable.</w:t>
      </w:r>
    </w:p>
    <w:p w14:paraId="79D621CE" w14:textId="77777777" w:rsidR="009A7EAA" w:rsidRPr="007F7200" w:rsidRDefault="009A7EAA" w:rsidP="00F75BD1"/>
    <w:p w14:paraId="26DBC4E3" w14:textId="77777777" w:rsidR="009A7EAA" w:rsidRPr="001527D4" w:rsidRDefault="009A7EAA" w:rsidP="00916B25">
      <w:pPr>
        <w:pStyle w:val="Titre3"/>
      </w:pPr>
      <w:r w:rsidRPr="001527D4">
        <w:t>Le résultat courant avant impôt (RCAI)</w:t>
      </w:r>
    </w:p>
    <w:p w14:paraId="120E5CED" w14:textId="79D7111A" w:rsidR="009A7EAA" w:rsidRDefault="009A7EAA" w:rsidP="00F75BD1">
      <w:r>
        <w:t xml:space="preserve">Le résultat courant avant impôt prend en compte le résultat d’exploitation et le résultat financier. En effet, la politique financière de l’entreprise impacte les intérêts à verser liés aux emprunts réalisés donc la profitabilité de l’entreprise. </w:t>
      </w:r>
      <w:r w:rsidR="00AF13E7">
        <w:t>Il</w:t>
      </w:r>
      <w:r>
        <w:t xml:space="preserve"> </w:t>
      </w:r>
      <w:r w:rsidR="00F75BD1">
        <w:t>est</w:t>
      </w:r>
      <w:r>
        <w:t xml:space="preserve"> calcul</w:t>
      </w:r>
      <w:r w:rsidR="00F75BD1">
        <w:t>é</w:t>
      </w:r>
      <w:r>
        <w:t xml:space="preserve"> de la manière suivante :</w:t>
      </w:r>
    </w:p>
    <w:p w14:paraId="4C0FA453" w14:textId="7A9BBE8F" w:rsidR="009A7EAA" w:rsidRPr="00F75BD1" w:rsidRDefault="009A7EAA" w:rsidP="00F75BD1">
      <w:pPr>
        <w:jc w:val="center"/>
        <w:rPr>
          <w:b/>
          <w:bCs/>
        </w:rPr>
      </w:pPr>
      <w:r w:rsidRPr="00F75BD1">
        <w:rPr>
          <w:b/>
          <w:bCs/>
        </w:rPr>
        <w:t>RCAI = RE + produits financiers – charges financières</w:t>
      </w:r>
    </w:p>
    <w:p w14:paraId="0F1FCEC9" w14:textId="02A2ABF9" w:rsidR="009A7EAA" w:rsidRDefault="009A7EAA" w:rsidP="00F75BD1">
      <w:r w:rsidRPr="00EC4961">
        <w:rPr>
          <w:rFonts w:eastAsia="NSimSun"/>
          <w:kern w:val="2"/>
          <w:lang w:eastAsia="zh-CN" w:bidi="hi-IN"/>
        </w:rPr>
        <w:lastRenderedPageBreak/>
        <w:t xml:space="preserve">Le </w:t>
      </w:r>
      <w:r w:rsidRPr="00EC4961">
        <w:t>RCAI est un indicateur financier qui permet de mesurer la performance globale de l’entreprise sans tenir compte des éléments exceptionnels ni de l’impôt sur les bénéfices.</w:t>
      </w:r>
    </w:p>
    <w:p w14:paraId="524CA533" w14:textId="59CDE435" w:rsidR="009A7EAA" w:rsidRDefault="009A7EAA" w:rsidP="00F75BD1">
      <w:r>
        <w:t>Ces indicateurs de profitabilité</w:t>
      </w:r>
      <w:r w:rsidRPr="007F7200">
        <w:t xml:space="preserve"> sont une aide précieuse pour les dirigeants</w:t>
      </w:r>
      <w:r>
        <w:t>.</w:t>
      </w:r>
      <w:r w:rsidRPr="007F7200">
        <w:t xml:space="preserve"> </w:t>
      </w:r>
      <w:r>
        <w:t xml:space="preserve">En effet, </w:t>
      </w:r>
      <w:r w:rsidRPr="00EC4961">
        <w:t xml:space="preserve">analyser la profitabilité d’une entreprise ne consiste pas juste à dire si elle est profitable ou </w:t>
      </w:r>
      <w:r w:rsidR="00404A02">
        <w:t>non</w:t>
      </w:r>
      <w:r w:rsidRPr="00EC4961">
        <w:t xml:space="preserve">. Cela permet plutôt </w:t>
      </w:r>
      <w:r>
        <w:t>d’</w:t>
      </w:r>
      <w:r w:rsidRPr="00EC4961">
        <w:t>évaluer l’évolution de cette profitabilité, les causes qui l’ont produites et surtout à expliquer si l’entreprise est plus ou moins profitable par rapport à ses concurrents</w:t>
      </w:r>
      <w:r>
        <w:t>.</w:t>
      </w:r>
    </w:p>
    <w:p w14:paraId="616A677F" w14:textId="77777777" w:rsidR="009A7EAA" w:rsidRDefault="009A7EAA" w:rsidP="009A7EAA">
      <w:pPr>
        <w:rPr>
          <w:rFonts w:ascii="Times New Roman" w:hAnsi="Times New Roman" w:cs="Times New Roman"/>
          <w:sz w:val="24"/>
          <w:szCs w:val="24"/>
        </w:rPr>
      </w:pPr>
    </w:p>
    <w:p w14:paraId="4A116866" w14:textId="77777777" w:rsidR="009A7EAA" w:rsidRPr="001527D4" w:rsidRDefault="009A7EAA" w:rsidP="00F75BD1">
      <w:pPr>
        <w:pStyle w:val="Titre2"/>
        <w:jc w:val="left"/>
      </w:pPr>
      <w:r w:rsidRPr="001527D4">
        <w:t>Les ratios des SIG : l’analyse de la profitabilité et de la performance</w:t>
      </w:r>
    </w:p>
    <w:p w14:paraId="18DEF529" w14:textId="77777777" w:rsidR="009A7EAA" w:rsidRDefault="009A7EAA" w:rsidP="00F75BD1">
      <w:r>
        <w:t xml:space="preserve">Il existe des ratios qui permettent d’analyser la profitabilité d’une entreprise : le taux de VA, le taux de marge brute d’exploitation et le taux de profitabilité. Tous ces ratios se réfèrent au chiffre d’affaires HT de l’entreprise. </w:t>
      </w:r>
    </w:p>
    <w:p w14:paraId="3C6FF325" w14:textId="178B7356" w:rsidR="009A7EAA" w:rsidRDefault="009A7EAA" w:rsidP="00F75BD1">
      <w:pPr>
        <w:rPr>
          <w:rFonts w:eastAsia="Times New Roman"/>
          <w:color w:val="000000"/>
          <w:lang w:eastAsia="fr-FR"/>
        </w:rPr>
      </w:pPr>
      <w:r>
        <w:t xml:space="preserve">Le taux de valeur ajoutée permet de </w:t>
      </w:r>
      <w:r w:rsidRPr="00325E35">
        <w:rPr>
          <w:rFonts w:eastAsia="Times New Roman"/>
          <w:color w:val="000000"/>
          <w:lang w:eastAsia="fr-FR"/>
        </w:rPr>
        <w:t>mesure</w:t>
      </w:r>
      <w:r>
        <w:rPr>
          <w:rFonts w:eastAsia="Times New Roman"/>
          <w:color w:val="000000"/>
          <w:lang w:eastAsia="fr-FR"/>
        </w:rPr>
        <w:t>r</w:t>
      </w:r>
      <w:r w:rsidRPr="00325E35">
        <w:rPr>
          <w:rFonts w:eastAsia="Times New Roman"/>
          <w:color w:val="000000"/>
          <w:lang w:eastAsia="fr-FR"/>
        </w:rPr>
        <w:t xml:space="preserve"> la capacité de l’entreprise à créer de la richesse grâce à son activité courante</w:t>
      </w:r>
      <w:r w:rsidR="00404A02">
        <w:rPr>
          <w:rFonts w:eastAsia="Times New Roman"/>
          <w:color w:val="000000"/>
          <w:lang w:eastAsia="fr-FR"/>
        </w:rPr>
        <w:t>. Il est calculé de la manière suivante :</w:t>
      </w:r>
    </w:p>
    <w:p w14:paraId="2DCFB6B2" w14:textId="275C885B" w:rsidR="009A7EAA" w:rsidRPr="00F75BD1" w:rsidRDefault="009A7EAA" w:rsidP="00F75BD1">
      <w:pPr>
        <w:jc w:val="center"/>
        <w:rPr>
          <w:b/>
          <w:bCs/>
        </w:rPr>
      </w:pPr>
      <w:r w:rsidRPr="00F75BD1">
        <w:rPr>
          <w:rFonts w:eastAsia="Times New Roman"/>
          <w:b/>
          <w:bCs/>
          <w:color w:val="000000"/>
          <w:lang w:eastAsia="fr-FR"/>
        </w:rPr>
        <w:t>Taux de VA = VA/CA HT</w:t>
      </w:r>
    </w:p>
    <w:p w14:paraId="14A0A5DB" w14:textId="1D0B3309" w:rsidR="009A7EAA" w:rsidRDefault="009A7EAA" w:rsidP="00F75BD1">
      <w:pPr>
        <w:rPr>
          <w:rFonts w:eastAsia="Times New Roman"/>
          <w:color w:val="000000"/>
          <w:lang w:eastAsia="fr-FR"/>
        </w:rPr>
      </w:pPr>
      <w:r>
        <w:rPr>
          <w:rFonts w:eastAsia="Times New Roman"/>
          <w:color w:val="000000"/>
          <w:lang w:eastAsia="fr-FR"/>
        </w:rPr>
        <w:t>Le t</w:t>
      </w:r>
      <w:r w:rsidRPr="00325E35">
        <w:rPr>
          <w:rFonts w:eastAsia="Times New Roman"/>
          <w:color w:val="000000"/>
          <w:lang w:eastAsia="fr-FR"/>
        </w:rPr>
        <w:t>aux de marge brute d’exploitation mesure la performance industrielle et commerciale de l’entreprise indépendamment de sa politique d’investissement et de sa politique de financement</w:t>
      </w:r>
      <w:r w:rsidR="00404A02">
        <w:rPr>
          <w:rFonts w:eastAsia="Times New Roman"/>
          <w:color w:val="000000"/>
          <w:lang w:eastAsia="fr-FR"/>
        </w:rPr>
        <w:t xml:space="preserve">. </w:t>
      </w:r>
      <w:r w:rsidR="00404A02">
        <w:rPr>
          <w:rFonts w:eastAsia="Times New Roman"/>
          <w:color w:val="000000"/>
          <w:lang w:eastAsia="fr-FR"/>
        </w:rPr>
        <w:t>Il est calculé de la manière suivante :</w:t>
      </w:r>
    </w:p>
    <w:p w14:paraId="72077834" w14:textId="117BE648" w:rsidR="009A7EAA" w:rsidRPr="00F75BD1" w:rsidRDefault="009A7EAA" w:rsidP="00F75BD1">
      <w:pPr>
        <w:jc w:val="center"/>
        <w:rPr>
          <w:rFonts w:eastAsia="Times New Roman"/>
          <w:b/>
          <w:bCs/>
          <w:color w:val="000000"/>
          <w:lang w:eastAsia="fr-FR"/>
        </w:rPr>
      </w:pPr>
      <w:r w:rsidRPr="00F75BD1">
        <w:rPr>
          <w:rFonts w:eastAsia="Times New Roman"/>
          <w:b/>
          <w:bCs/>
          <w:color w:val="000000"/>
          <w:lang w:eastAsia="fr-FR"/>
        </w:rPr>
        <w:t>Taux de marge brute d’exploitation = EBE/CA HT</w:t>
      </w:r>
    </w:p>
    <w:p w14:paraId="1B85DDD9" w14:textId="556D0CAA" w:rsidR="009A7EAA" w:rsidRDefault="009A7EAA" w:rsidP="00F75BD1">
      <w:pPr>
        <w:rPr>
          <w:rFonts w:eastAsia="Times New Roman"/>
          <w:color w:val="000000"/>
          <w:lang w:eastAsia="fr-FR"/>
        </w:rPr>
      </w:pPr>
      <w:r>
        <w:rPr>
          <w:rFonts w:eastAsia="Times New Roman"/>
          <w:color w:val="000000"/>
          <w:lang w:eastAsia="fr-FR"/>
        </w:rPr>
        <w:t>Le t</w:t>
      </w:r>
      <w:r w:rsidRPr="00325E35">
        <w:rPr>
          <w:rFonts w:eastAsia="Times New Roman"/>
          <w:color w:val="000000"/>
          <w:lang w:eastAsia="fr-FR"/>
        </w:rPr>
        <w:t xml:space="preserve">aux de </w:t>
      </w:r>
      <w:r>
        <w:rPr>
          <w:rFonts w:eastAsia="Times New Roman"/>
          <w:color w:val="000000"/>
          <w:lang w:eastAsia="fr-FR"/>
        </w:rPr>
        <w:t>profitabilité</w:t>
      </w:r>
      <w:r w:rsidRPr="00325E35">
        <w:rPr>
          <w:rFonts w:eastAsia="Times New Roman"/>
          <w:color w:val="000000"/>
          <w:lang w:eastAsia="fr-FR"/>
        </w:rPr>
        <w:t xml:space="preserve"> mesure la performance financière globale de l’entreprise</w:t>
      </w:r>
      <w:r w:rsidR="00404A02">
        <w:rPr>
          <w:rFonts w:eastAsia="Times New Roman"/>
          <w:color w:val="000000"/>
          <w:lang w:eastAsia="fr-FR"/>
        </w:rPr>
        <w:t xml:space="preserve">. </w:t>
      </w:r>
      <w:r w:rsidR="00404A02">
        <w:rPr>
          <w:rFonts w:eastAsia="Times New Roman"/>
          <w:color w:val="000000"/>
          <w:lang w:eastAsia="fr-FR"/>
        </w:rPr>
        <w:t>Il est calculé de la manière suivante :</w:t>
      </w:r>
    </w:p>
    <w:p w14:paraId="05081AA4" w14:textId="0D83D4A5" w:rsidR="009A7EAA" w:rsidRPr="00F75BD1" w:rsidRDefault="009A7EAA" w:rsidP="00F75BD1">
      <w:pPr>
        <w:jc w:val="center"/>
        <w:rPr>
          <w:rFonts w:eastAsia="Times New Roman"/>
          <w:b/>
          <w:bCs/>
          <w:color w:val="000000"/>
          <w:lang w:eastAsia="fr-FR"/>
        </w:rPr>
      </w:pPr>
      <w:r w:rsidRPr="00F75BD1">
        <w:rPr>
          <w:rFonts w:eastAsia="Times New Roman"/>
          <w:b/>
          <w:bCs/>
          <w:color w:val="000000"/>
          <w:lang w:eastAsia="fr-FR"/>
        </w:rPr>
        <w:t>Taux de profitabilité = Résultat net/CA HT</w:t>
      </w:r>
    </w:p>
    <w:p w14:paraId="22F2BBE7" w14:textId="77777777" w:rsidR="009A7EAA" w:rsidRDefault="009A7EAA" w:rsidP="00F75BD1">
      <w:pPr>
        <w:rPr>
          <w:lang w:eastAsia="fr-FR"/>
        </w:rPr>
      </w:pPr>
    </w:p>
    <w:p w14:paraId="2EECE6B6" w14:textId="5CD2A1D5" w:rsidR="009A7EAA" w:rsidRPr="00916B25" w:rsidRDefault="009A7EAA" w:rsidP="009A7EAA">
      <w:pPr>
        <w:pStyle w:val="Titre2"/>
        <w:rPr>
          <w:lang w:eastAsia="fr-FR"/>
        </w:rPr>
      </w:pPr>
      <w:r w:rsidRPr="001527D4">
        <w:rPr>
          <w:lang w:eastAsia="fr-FR"/>
        </w:rPr>
        <w:t>La capacité d’autofinancement (CAF)</w:t>
      </w:r>
    </w:p>
    <w:p w14:paraId="515BB094" w14:textId="0D1006AE" w:rsidR="009A7EAA" w:rsidRPr="007C3043" w:rsidRDefault="009A7EAA" w:rsidP="00F75BD1">
      <w:pPr>
        <w:rPr>
          <w:lang w:eastAsia="zh-CN" w:bidi="hi-IN"/>
        </w:rPr>
      </w:pPr>
      <w:r>
        <w:rPr>
          <w:rFonts w:eastAsia="Times New Roman"/>
          <w:color w:val="000000"/>
          <w:lang w:eastAsia="fr-FR"/>
        </w:rPr>
        <w:t>L</w:t>
      </w:r>
      <w:r w:rsidRPr="007C3043">
        <w:rPr>
          <w:lang w:eastAsia="zh-CN" w:bidi="hi-IN"/>
        </w:rPr>
        <w:t xml:space="preserve">a </w:t>
      </w:r>
      <w:r>
        <w:rPr>
          <w:lang w:eastAsia="zh-CN" w:bidi="hi-IN"/>
        </w:rPr>
        <w:t>capacité d’autofinancement</w:t>
      </w:r>
      <w:r w:rsidRPr="007C3043">
        <w:rPr>
          <w:lang w:eastAsia="zh-CN" w:bidi="hi-IN"/>
        </w:rPr>
        <w:t xml:space="preserve"> est la ressource financière dégagée par l’activité de l’entreprise. C’est le surplus monétaire qui lui permettra d’autofinancer ses projets après avoir déduit les dividendes (autofinancement = CAF – dividendes). </w:t>
      </w:r>
    </w:p>
    <w:p w14:paraId="4591FD26" w14:textId="15817A7D" w:rsidR="009A7EAA" w:rsidRPr="00F75BD1" w:rsidRDefault="009A7EAA" w:rsidP="00F75BD1">
      <w:pPr>
        <w:jc w:val="center"/>
        <w:rPr>
          <w:b/>
          <w:bCs/>
        </w:rPr>
      </w:pPr>
      <w:r w:rsidRPr="00F75BD1">
        <w:rPr>
          <w:b/>
          <w:bCs/>
        </w:rPr>
        <w:t>CAF = produits encaissables – charges décaissables</w:t>
      </w:r>
    </w:p>
    <w:p w14:paraId="0CA97D6A" w14:textId="59C69561" w:rsidR="009A7EAA" w:rsidRPr="001F23C2" w:rsidRDefault="009A7EAA" w:rsidP="00F75BD1">
      <w:r>
        <w:t>O</w:t>
      </w:r>
      <w:r w:rsidRPr="001F23C2">
        <w:t>n ne doit donc pas compter les amortissements ni les dépréciations ni les éléments liés aux cessions d’éléments d’actifs</w:t>
      </w:r>
      <w:r w:rsidR="00404A02">
        <w:t>,</w:t>
      </w:r>
      <w:r w:rsidRPr="001F23C2">
        <w:t xml:space="preserve"> qui sont des charges calculées</w:t>
      </w:r>
      <w:r>
        <w:t xml:space="preserve"> n’entra</w:t>
      </w:r>
      <w:r w:rsidR="00404A02">
        <w:t>îna</w:t>
      </w:r>
      <w:r>
        <w:t>nt aucun décaissement.</w:t>
      </w:r>
    </w:p>
    <w:p w14:paraId="5D3D007B" w14:textId="2344B7E6" w:rsidR="009A7EAA" w:rsidRDefault="009A7EAA" w:rsidP="00F75BD1">
      <w:r w:rsidRPr="007C3043">
        <w:t>Deux méthodes de calcul existent :</w:t>
      </w:r>
      <w:r>
        <w:t xml:space="preserve"> la méthode additive et la méthode soustractive</w:t>
      </w:r>
      <w:r w:rsidR="00F75BD1">
        <w:t>.</w:t>
      </w:r>
    </w:p>
    <w:p w14:paraId="084858A3" w14:textId="77777777" w:rsidR="009A7EAA" w:rsidRPr="006A6937" w:rsidRDefault="009A7EAA" w:rsidP="00F75BD1">
      <w:pPr>
        <w:pStyle w:val="Paragraphedeliste"/>
        <w:numPr>
          <w:ilvl w:val="0"/>
          <w:numId w:val="33"/>
        </w:numPr>
      </w:pPr>
      <w:r>
        <w:lastRenderedPageBreak/>
        <w:t xml:space="preserve">La </w:t>
      </w:r>
      <w:r w:rsidRPr="00F75BD1">
        <w:rPr>
          <w:b/>
          <w:bCs/>
        </w:rPr>
        <w:t>méthode additive</w:t>
      </w:r>
      <w:r>
        <w:t> : elle part du résultat qui englobe déjà les charges et produits calculés. Il faut ensuite les neutraliser car la CAF ne doit prendre en compte que les charges décaissées et les produits encaissés :</w:t>
      </w:r>
    </w:p>
    <w:tbl>
      <w:tblPr>
        <w:tblStyle w:val="Grilledutableau"/>
        <w:tblW w:w="9355" w:type="dxa"/>
        <w:tblInd w:w="279" w:type="dxa"/>
        <w:tblLook w:val="04A0" w:firstRow="1" w:lastRow="0" w:firstColumn="1" w:lastColumn="0" w:noHBand="0" w:noVBand="1"/>
      </w:tblPr>
      <w:tblGrid>
        <w:gridCol w:w="1707"/>
        <w:gridCol w:w="7648"/>
      </w:tblGrid>
      <w:tr w:rsidR="009A7EAA" w:rsidRPr="007C3043" w14:paraId="0B3D5A95" w14:textId="77777777" w:rsidTr="00A67A3F">
        <w:tc>
          <w:tcPr>
            <w:tcW w:w="9355" w:type="dxa"/>
            <w:gridSpan w:val="2"/>
          </w:tcPr>
          <w:p w14:paraId="5A7D128C" w14:textId="77777777" w:rsidR="009A7EAA" w:rsidRPr="00F75BD1" w:rsidRDefault="009A7EAA" w:rsidP="00F75BD1">
            <w:pPr>
              <w:spacing w:after="0"/>
              <w:jc w:val="center"/>
              <w:rPr>
                <w:b/>
                <w:bCs/>
              </w:rPr>
            </w:pPr>
            <w:bookmarkStart w:id="0" w:name="_Hlk22917050"/>
            <w:r w:rsidRPr="00F75BD1">
              <w:rPr>
                <w:b/>
                <w:bCs/>
              </w:rPr>
              <w:t>Méthode additive à partir du résultat</w:t>
            </w:r>
          </w:p>
        </w:tc>
      </w:tr>
      <w:tr w:rsidR="009A7EAA" w:rsidRPr="007C3043" w14:paraId="3C7FB1F2" w14:textId="77777777" w:rsidTr="00A67A3F">
        <w:tc>
          <w:tcPr>
            <w:tcW w:w="1707" w:type="dxa"/>
          </w:tcPr>
          <w:p w14:paraId="4BC8B1D0" w14:textId="45B53364" w:rsidR="009A7EAA" w:rsidRPr="007C3043" w:rsidRDefault="009A7EAA" w:rsidP="00F75BD1">
            <w:pPr>
              <w:spacing w:after="0"/>
            </w:pPr>
            <w:bookmarkStart w:id="1" w:name="_Hlk19349913"/>
            <w:r w:rsidRPr="007C3043">
              <w:t xml:space="preserve">N° </w:t>
            </w:r>
            <w:r w:rsidR="00F75BD1">
              <w:t xml:space="preserve">de </w:t>
            </w:r>
            <w:r w:rsidRPr="007C3043">
              <w:t>compte</w:t>
            </w:r>
          </w:p>
        </w:tc>
        <w:tc>
          <w:tcPr>
            <w:tcW w:w="7648" w:type="dxa"/>
          </w:tcPr>
          <w:p w14:paraId="6D5A4E6E" w14:textId="77777777" w:rsidR="009A7EAA" w:rsidRPr="007C3043" w:rsidRDefault="009A7EAA" w:rsidP="00F75BD1">
            <w:pPr>
              <w:spacing w:after="0"/>
            </w:pPr>
            <w:r w:rsidRPr="007C3043">
              <w:t>Éléments</w:t>
            </w:r>
          </w:p>
        </w:tc>
      </w:tr>
      <w:bookmarkEnd w:id="1"/>
      <w:tr w:rsidR="009A7EAA" w:rsidRPr="007C3043" w14:paraId="2CE72DB6" w14:textId="77777777" w:rsidTr="00A67A3F">
        <w:tc>
          <w:tcPr>
            <w:tcW w:w="1707" w:type="dxa"/>
          </w:tcPr>
          <w:p w14:paraId="09DA5E9E" w14:textId="77777777" w:rsidR="009A7EAA" w:rsidRPr="00A842DC" w:rsidRDefault="009A7EAA" w:rsidP="00F75BD1">
            <w:pPr>
              <w:spacing w:after="0"/>
            </w:pPr>
          </w:p>
          <w:p w14:paraId="196C94BD" w14:textId="77777777" w:rsidR="009A7EAA" w:rsidRPr="00A842DC" w:rsidRDefault="009A7EAA" w:rsidP="00F75BD1">
            <w:pPr>
              <w:spacing w:after="0"/>
            </w:pPr>
            <w:r w:rsidRPr="00A842DC">
              <w:t>+ 681,686,687</w:t>
            </w:r>
          </w:p>
          <w:p w14:paraId="7592D91E" w14:textId="77777777" w:rsidR="009A7EAA" w:rsidRPr="00A842DC" w:rsidRDefault="009A7EAA" w:rsidP="00F75BD1">
            <w:pPr>
              <w:spacing w:after="0"/>
            </w:pPr>
            <w:r w:rsidRPr="00A842DC">
              <w:t>+ 675</w:t>
            </w:r>
          </w:p>
          <w:p w14:paraId="1DA05886" w14:textId="77777777" w:rsidR="009A7EAA" w:rsidRPr="0022558F" w:rsidRDefault="009A7EAA" w:rsidP="00F75BD1">
            <w:pPr>
              <w:spacing w:after="0"/>
            </w:pPr>
            <w:r w:rsidRPr="00A842DC">
              <w:t>781,786,787</w:t>
            </w:r>
          </w:p>
          <w:p w14:paraId="2B70D3A3" w14:textId="77777777" w:rsidR="009A7EAA" w:rsidRPr="0022558F" w:rsidRDefault="009A7EAA" w:rsidP="00F75BD1">
            <w:pPr>
              <w:spacing w:after="0"/>
            </w:pPr>
            <w:r w:rsidRPr="00A842DC">
              <w:t>775</w:t>
            </w:r>
          </w:p>
        </w:tc>
        <w:tc>
          <w:tcPr>
            <w:tcW w:w="7648" w:type="dxa"/>
          </w:tcPr>
          <w:p w14:paraId="2273EE95" w14:textId="77777777" w:rsidR="009A7EAA" w:rsidRPr="00A842DC" w:rsidRDefault="009A7EAA" w:rsidP="00F75BD1">
            <w:pPr>
              <w:spacing w:after="0"/>
            </w:pPr>
            <w:r w:rsidRPr="00A842DC">
              <w:t>Résultat</w:t>
            </w:r>
          </w:p>
          <w:p w14:paraId="54947FDA" w14:textId="53815B98" w:rsidR="009A7EAA" w:rsidRPr="00A842DC" w:rsidRDefault="009A7EAA" w:rsidP="00F75BD1">
            <w:pPr>
              <w:spacing w:after="0"/>
            </w:pPr>
            <w:r w:rsidRPr="00A842DC">
              <w:t>+ dotations aux amortissements, dépréciations et provisions</w:t>
            </w:r>
            <w:r w:rsidR="00F75BD1">
              <w:t xml:space="preserve"> </w:t>
            </w:r>
            <w:r w:rsidRPr="00A842DC">
              <w:t>+ VCEAC</w:t>
            </w:r>
          </w:p>
          <w:p w14:paraId="5FF9B119" w14:textId="77777777" w:rsidR="009A7EAA" w:rsidRPr="00A842DC" w:rsidRDefault="009A7EAA" w:rsidP="00F75BD1">
            <w:pPr>
              <w:spacing w:after="0"/>
            </w:pPr>
            <w:r w:rsidRPr="00A842DC">
              <w:t>Reprises sur dépréciations et provisions</w:t>
            </w:r>
          </w:p>
          <w:p w14:paraId="090C034C" w14:textId="77777777" w:rsidR="009A7EAA" w:rsidRPr="00A842DC" w:rsidRDefault="009A7EAA" w:rsidP="00F75BD1">
            <w:pPr>
              <w:spacing w:after="0"/>
            </w:pPr>
            <w:r w:rsidRPr="00A842DC">
              <w:t>PCEAC</w:t>
            </w:r>
          </w:p>
        </w:tc>
      </w:tr>
      <w:tr w:rsidR="009A7EAA" w:rsidRPr="007C3043" w14:paraId="6D67E8B1" w14:textId="77777777" w:rsidTr="00A67A3F">
        <w:tc>
          <w:tcPr>
            <w:tcW w:w="9355" w:type="dxa"/>
            <w:gridSpan w:val="2"/>
          </w:tcPr>
          <w:p w14:paraId="3BD17450" w14:textId="0041BE58" w:rsidR="009A7EAA" w:rsidRPr="007C3043" w:rsidRDefault="009A7EAA" w:rsidP="00F75BD1">
            <w:pPr>
              <w:spacing w:after="0"/>
            </w:pPr>
            <w:r w:rsidRPr="007C3043">
              <w:t xml:space="preserve">                    </w:t>
            </w:r>
            <w:r w:rsidR="00404A02">
              <w:t xml:space="preserve">     </w:t>
            </w:r>
            <w:r w:rsidRPr="007C3043">
              <w:t xml:space="preserve">         = CAF</w:t>
            </w:r>
          </w:p>
        </w:tc>
      </w:tr>
      <w:bookmarkEnd w:id="0"/>
    </w:tbl>
    <w:p w14:paraId="64EA2A05" w14:textId="77777777" w:rsidR="009A7EAA" w:rsidRPr="00701CB6" w:rsidRDefault="009A7EAA" w:rsidP="009A7EAA">
      <w:pPr>
        <w:spacing w:after="0"/>
        <w:rPr>
          <w:rFonts w:ascii="Times New Roman" w:hAnsi="Times New Roman" w:cs="Times New Roman"/>
          <w:sz w:val="24"/>
          <w:szCs w:val="24"/>
        </w:rPr>
      </w:pPr>
    </w:p>
    <w:p w14:paraId="065AF6EF" w14:textId="752FD450" w:rsidR="009A7EAA" w:rsidRPr="00701CB6" w:rsidRDefault="009A7EAA" w:rsidP="00F75BD1">
      <w:pPr>
        <w:pStyle w:val="Paragraphedeliste"/>
        <w:numPr>
          <w:ilvl w:val="0"/>
          <w:numId w:val="33"/>
        </w:numPr>
      </w:pPr>
      <w:r>
        <w:t xml:space="preserve">La </w:t>
      </w:r>
      <w:r w:rsidRPr="00F75BD1">
        <w:rPr>
          <w:b/>
          <w:bCs/>
        </w:rPr>
        <w:t>méthode soustractive</w:t>
      </w:r>
      <w:r>
        <w:t> : elle part de l’EBE. Il faut donc ensuite ajouter tous les produits encaissables et déduire toutes les charges décaissables, comme si on cherchait à calculer le résultat</w:t>
      </w:r>
      <w:r w:rsidR="00404A02">
        <w:t>,</w:t>
      </w:r>
      <w:r>
        <w:t xml:space="preserve"> </w:t>
      </w:r>
      <w:r w:rsidRPr="00F75BD1">
        <w:t>mais</w:t>
      </w:r>
      <w:r>
        <w:t xml:space="preserve"> sans tenir compte des produits et charges calculées :</w:t>
      </w:r>
    </w:p>
    <w:tbl>
      <w:tblPr>
        <w:tblStyle w:val="Grilledutableau"/>
        <w:tblpPr w:leftFromText="141" w:rightFromText="141" w:vertAnchor="text" w:horzAnchor="page" w:tblpX="2540" w:tblpY="185"/>
        <w:tblW w:w="6487" w:type="dxa"/>
        <w:tblLook w:val="04A0" w:firstRow="1" w:lastRow="0" w:firstColumn="1" w:lastColumn="0" w:noHBand="0" w:noVBand="1"/>
      </w:tblPr>
      <w:tblGrid>
        <w:gridCol w:w="2124"/>
        <w:gridCol w:w="4363"/>
      </w:tblGrid>
      <w:tr w:rsidR="009A7EAA" w:rsidRPr="007C3043" w14:paraId="5DCC9BFB" w14:textId="77777777" w:rsidTr="00AF13E7">
        <w:tc>
          <w:tcPr>
            <w:tcW w:w="6487" w:type="dxa"/>
            <w:gridSpan w:val="2"/>
          </w:tcPr>
          <w:p w14:paraId="6ABFDEA0" w14:textId="77777777" w:rsidR="009A7EAA" w:rsidRPr="00F75BD1" w:rsidRDefault="009A7EAA" w:rsidP="00AF13E7">
            <w:pPr>
              <w:spacing w:after="0"/>
              <w:jc w:val="center"/>
              <w:rPr>
                <w:b/>
                <w:bCs/>
              </w:rPr>
            </w:pPr>
            <w:r w:rsidRPr="00F75BD1">
              <w:rPr>
                <w:b/>
                <w:bCs/>
              </w:rPr>
              <w:t>Méthode soustractive à partir de l’EBE</w:t>
            </w:r>
          </w:p>
        </w:tc>
      </w:tr>
      <w:tr w:rsidR="009A7EAA" w:rsidRPr="007C3043" w14:paraId="5E5FD17B" w14:textId="77777777" w:rsidTr="00AF13E7">
        <w:tc>
          <w:tcPr>
            <w:tcW w:w="2124" w:type="dxa"/>
          </w:tcPr>
          <w:p w14:paraId="0D88CFB1" w14:textId="6F1DB33F" w:rsidR="009A7EAA" w:rsidRPr="007C3043" w:rsidRDefault="009A7EAA" w:rsidP="00AF13E7">
            <w:pPr>
              <w:spacing w:after="0"/>
            </w:pPr>
            <w:r w:rsidRPr="007C3043">
              <w:t xml:space="preserve">N° </w:t>
            </w:r>
            <w:r w:rsidR="00F75BD1">
              <w:t xml:space="preserve">de </w:t>
            </w:r>
            <w:r w:rsidRPr="007C3043">
              <w:t>compte</w:t>
            </w:r>
          </w:p>
        </w:tc>
        <w:tc>
          <w:tcPr>
            <w:tcW w:w="4363" w:type="dxa"/>
          </w:tcPr>
          <w:p w14:paraId="5494752B" w14:textId="77777777" w:rsidR="009A7EAA" w:rsidRPr="007C3043" w:rsidRDefault="009A7EAA" w:rsidP="00AF13E7">
            <w:pPr>
              <w:spacing w:after="0"/>
            </w:pPr>
            <w:r w:rsidRPr="007C3043">
              <w:t>Éléments</w:t>
            </w:r>
          </w:p>
        </w:tc>
      </w:tr>
      <w:tr w:rsidR="009A7EAA" w:rsidRPr="007C3043" w14:paraId="6D45B1F9" w14:textId="77777777" w:rsidTr="00AF13E7">
        <w:tc>
          <w:tcPr>
            <w:tcW w:w="2124" w:type="dxa"/>
          </w:tcPr>
          <w:p w14:paraId="1CF433E0" w14:textId="77777777" w:rsidR="009A7EAA" w:rsidRPr="00A842DC" w:rsidRDefault="009A7EAA" w:rsidP="00AF13E7">
            <w:pPr>
              <w:spacing w:after="0"/>
            </w:pPr>
          </w:p>
          <w:p w14:paraId="5F76EA32" w14:textId="77777777" w:rsidR="009A7EAA" w:rsidRPr="00A842DC" w:rsidRDefault="009A7EAA" w:rsidP="00AF13E7">
            <w:pPr>
              <w:spacing w:after="0"/>
            </w:pPr>
            <w:r w:rsidRPr="00A842DC">
              <w:t>+ 75</w:t>
            </w:r>
          </w:p>
          <w:p w14:paraId="7003677D" w14:textId="77777777" w:rsidR="009A7EAA" w:rsidRPr="00A842DC" w:rsidRDefault="009A7EAA" w:rsidP="00AF13E7">
            <w:pPr>
              <w:spacing w:after="0"/>
            </w:pPr>
            <w:r w:rsidRPr="00A842DC">
              <w:t>+ 791</w:t>
            </w:r>
          </w:p>
          <w:p w14:paraId="4DA612C2" w14:textId="77777777" w:rsidR="009A7EAA" w:rsidRPr="00A842DC" w:rsidRDefault="009A7EAA" w:rsidP="00AF13E7">
            <w:pPr>
              <w:spacing w:after="0"/>
            </w:pPr>
            <w:r w:rsidRPr="00A842DC">
              <w:t>+ 76 (sauf 786, 796)</w:t>
            </w:r>
          </w:p>
          <w:p w14:paraId="772A6920" w14:textId="77777777" w:rsidR="009A7EAA" w:rsidRPr="00A842DC" w:rsidRDefault="009A7EAA" w:rsidP="00AF13E7">
            <w:pPr>
              <w:spacing w:after="0"/>
            </w:pPr>
            <w:r w:rsidRPr="00A842DC">
              <w:t>+ 77 (sauf 775, 787)</w:t>
            </w:r>
          </w:p>
          <w:p w14:paraId="310FE9DC" w14:textId="689D0C33" w:rsidR="009A7EAA" w:rsidRPr="00A842DC" w:rsidRDefault="009A7EAA" w:rsidP="00AF13E7">
            <w:pPr>
              <w:spacing w:after="0"/>
            </w:pPr>
            <w:r w:rsidRPr="00A842DC">
              <w:t>65</w:t>
            </w:r>
          </w:p>
          <w:p w14:paraId="4A8B72DD" w14:textId="6BEA0154" w:rsidR="009A7EAA" w:rsidRPr="00A842DC" w:rsidRDefault="009A7EAA" w:rsidP="00AF13E7">
            <w:pPr>
              <w:spacing w:after="0"/>
            </w:pPr>
            <w:r w:rsidRPr="00A842DC">
              <w:t>66 (sauf 686)</w:t>
            </w:r>
          </w:p>
          <w:p w14:paraId="62C26F3C" w14:textId="77777777" w:rsidR="009A7EAA" w:rsidRPr="00A842DC" w:rsidRDefault="009A7EAA" w:rsidP="00AF13E7">
            <w:pPr>
              <w:spacing w:after="0"/>
            </w:pPr>
            <w:r w:rsidRPr="00A842DC">
              <w:t>67 (sauf 675, 687)</w:t>
            </w:r>
          </w:p>
          <w:p w14:paraId="583240AA" w14:textId="77777777" w:rsidR="009A7EAA" w:rsidRPr="00A842DC" w:rsidRDefault="009A7EAA" w:rsidP="00AF13E7">
            <w:pPr>
              <w:spacing w:after="0"/>
            </w:pPr>
            <w:r w:rsidRPr="00A842DC">
              <w:t>691</w:t>
            </w:r>
          </w:p>
          <w:p w14:paraId="1AE79ADE" w14:textId="77777777" w:rsidR="009A7EAA" w:rsidRPr="00A842DC" w:rsidRDefault="009A7EAA" w:rsidP="00AF13E7">
            <w:pPr>
              <w:spacing w:after="0"/>
            </w:pPr>
            <w:r w:rsidRPr="00A842DC">
              <w:t>695</w:t>
            </w:r>
          </w:p>
        </w:tc>
        <w:tc>
          <w:tcPr>
            <w:tcW w:w="4363" w:type="dxa"/>
          </w:tcPr>
          <w:p w14:paraId="422CF9B6" w14:textId="77777777" w:rsidR="009A7EAA" w:rsidRPr="00A842DC" w:rsidRDefault="009A7EAA" w:rsidP="00AF13E7">
            <w:pPr>
              <w:spacing w:after="0"/>
            </w:pPr>
            <w:r w:rsidRPr="00A842DC">
              <w:t>EBE</w:t>
            </w:r>
          </w:p>
          <w:p w14:paraId="52748465" w14:textId="77777777" w:rsidR="009A7EAA" w:rsidRPr="00A842DC" w:rsidRDefault="009A7EAA" w:rsidP="00AF13E7">
            <w:pPr>
              <w:spacing w:after="0"/>
            </w:pPr>
            <w:r w:rsidRPr="00A842DC">
              <w:t>+ autres produits d’exploitation</w:t>
            </w:r>
          </w:p>
          <w:p w14:paraId="5B080941" w14:textId="77777777" w:rsidR="009A7EAA" w:rsidRPr="00A842DC" w:rsidRDefault="009A7EAA" w:rsidP="00AF13E7">
            <w:pPr>
              <w:spacing w:after="0"/>
            </w:pPr>
            <w:r w:rsidRPr="00A842DC">
              <w:t>+ transferts de charges d’exploitation</w:t>
            </w:r>
          </w:p>
          <w:p w14:paraId="5E57F866" w14:textId="77777777" w:rsidR="009A7EAA" w:rsidRPr="00A842DC" w:rsidRDefault="009A7EAA" w:rsidP="00AF13E7">
            <w:pPr>
              <w:spacing w:after="0"/>
            </w:pPr>
            <w:r w:rsidRPr="00A842DC">
              <w:t>+ produits financiers encaissables</w:t>
            </w:r>
          </w:p>
          <w:p w14:paraId="6FE14F92" w14:textId="77777777" w:rsidR="009A7EAA" w:rsidRPr="00A842DC" w:rsidRDefault="009A7EAA" w:rsidP="00AF13E7">
            <w:pPr>
              <w:spacing w:after="0"/>
            </w:pPr>
            <w:r w:rsidRPr="00A842DC">
              <w:t>+ produits exceptionnels encaissables</w:t>
            </w:r>
          </w:p>
          <w:p w14:paraId="31B6912C" w14:textId="77777777" w:rsidR="009A7EAA" w:rsidRPr="00A842DC" w:rsidRDefault="009A7EAA" w:rsidP="00AF13E7">
            <w:pPr>
              <w:spacing w:after="0"/>
            </w:pPr>
            <w:r w:rsidRPr="00A842DC">
              <w:t>Autres charges d’exploitation</w:t>
            </w:r>
          </w:p>
          <w:p w14:paraId="43EC05A6" w14:textId="77777777" w:rsidR="009A7EAA" w:rsidRPr="00A842DC" w:rsidRDefault="009A7EAA" w:rsidP="00AF13E7">
            <w:pPr>
              <w:spacing w:after="0"/>
            </w:pPr>
            <w:r w:rsidRPr="00A842DC">
              <w:t>Charges financières décaissables</w:t>
            </w:r>
          </w:p>
          <w:p w14:paraId="50A181C7" w14:textId="77777777" w:rsidR="009A7EAA" w:rsidRPr="00A842DC" w:rsidRDefault="009A7EAA" w:rsidP="00AF13E7">
            <w:pPr>
              <w:spacing w:after="0"/>
            </w:pPr>
            <w:r w:rsidRPr="00A842DC">
              <w:t>Charges exceptionnelles décaissables</w:t>
            </w:r>
          </w:p>
          <w:p w14:paraId="5EFC8C47" w14:textId="77777777" w:rsidR="009A7EAA" w:rsidRPr="00A842DC" w:rsidRDefault="009A7EAA" w:rsidP="00AF13E7">
            <w:pPr>
              <w:spacing w:after="0"/>
            </w:pPr>
            <w:r w:rsidRPr="00A842DC">
              <w:t>Participation des salariés aux bénéfices</w:t>
            </w:r>
          </w:p>
          <w:p w14:paraId="199E6998" w14:textId="77777777" w:rsidR="009A7EAA" w:rsidRPr="00A842DC" w:rsidRDefault="009A7EAA" w:rsidP="00AF13E7">
            <w:pPr>
              <w:spacing w:after="0"/>
            </w:pPr>
            <w:r w:rsidRPr="00A842DC">
              <w:t>Impôts sur les bénéfices</w:t>
            </w:r>
          </w:p>
        </w:tc>
      </w:tr>
      <w:tr w:rsidR="009A7EAA" w:rsidRPr="007C3043" w14:paraId="4350471A" w14:textId="77777777" w:rsidTr="00AF13E7">
        <w:tc>
          <w:tcPr>
            <w:tcW w:w="6487" w:type="dxa"/>
            <w:gridSpan w:val="2"/>
          </w:tcPr>
          <w:p w14:paraId="25C9A1C8" w14:textId="6D0EB75B" w:rsidR="009A7EAA" w:rsidRPr="007C3043" w:rsidRDefault="009A7EAA" w:rsidP="00AF13E7">
            <w:pPr>
              <w:spacing w:after="0"/>
            </w:pPr>
            <w:r w:rsidRPr="007C3043">
              <w:t xml:space="preserve">                                 </w:t>
            </w:r>
            <w:r w:rsidR="00F75BD1">
              <w:t xml:space="preserve">       </w:t>
            </w:r>
            <w:r w:rsidRPr="007C3043">
              <w:t>= CAF</w:t>
            </w:r>
          </w:p>
        </w:tc>
      </w:tr>
    </w:tbl>
    <w:p w14:paraId="79C49B4A" w14:textId="77777777" w:rsidR="009A7EAA" w:rsidRDefault="009A7EAA" w:rsidP="009A7EAA">
      <w:pPr>
        <w:spacing w:after="0"/>
        <w:rPr>
          <w:rFonts w:ascii="Times New Roman" w:hAnsi="Times New Roman" w:cs="Times New Roman"/>
          <w:color w:val="FF0000"/>
          <w:sz w:val="24"/>
          <w:szCs w:val="24"/>
        </w:rPr>
      </w:pPr>
    </w:p>
    <w:p w14:paraId="068666D7" w14:textId="77777777" w:rsidR="009A7EAA" w:rsidRPr="00A842DC" w:rsidRDefault="009A7EAA" w:rsidP="009A7EAA">
      <w:pPr>
        <w:spacing w:after="0"/>
        <w:rPr>
          <w:rFonts w:ascii="Times New Roman" w:hAnsi="Times New Roman" w:cs="Times New Roman"/>
          <w:color w:val="FF0000"/>
          <w:sz w:val="24"/>
          <w:szCs w:val="24"/>
        </w:rPr>
      </w:pPr>
    </w:p>
    <w:p w14:paraId="6D23EA71" w14:textId="77777777" w:rsidR="009A7EAA" w:rsidRDefault="009A7EAA" w:rsidP="009A7EAA">
      <w:pPr>
        <w:spacing w:after="0"/>
        <w:rPr>
          <w:rFonts w:ascii="Times New Roman" w:hAnsi="Times New Roman" w:cs="Times New Roman"/>
          <w:sz w:val="24"/>
          <w:szCs w:val="24"/>
        </w:rPr>
      </w:pPr>
    </w:p>
    <w:p w14:paraId="15E5F4ED" w14:textId="77777777" w:rsidR="009A7EAA" w:rsidRDefault="009A7EAA" w:rsidP="009A7EAA">
      <w:pPr>
        <w:spacing w:after="0"/>
        <w:rPr>
          <w:rFonts w:ascii="Times New Roman" w:hAnsi="Times New Roman" w:cs="Times New Roman"/>
          <w:sz w:val="24"/>
          <w:szCs w:val="24"/>
        </w:rPr>
      </w:pPr>
    </w:p>
    <w:p w14:paraId="31F1F5F3" w14:textId="4A9FFAE6" w:rsidR="009A7EAA" w:rsidRDefault="009A7EAA" w:rsidP="009A7EAA">
      <w:pPr>
        <w:spacing w:after="0"/>
        <w:rPr>
          <w:rFonts w:ascii="Times New Roman" w:hAnsi="Times New Roman" w:cs="Times New Roman"/>
          <w:sz w:val="24"/>
          <w:szCs w:val="24"/>
        </w:rPr>
      </w:pPr>
    </w:p>
    <w:p w14:paraId="76692749" w14:textId="3B1524A4" w:rsidR="00AF13E7" w:rsidRDefault="00AF13E7" w:rsidP="009A7EAA">
      <w:pPr>
        <w:spacing w:after="0"/>
        <w:rPr>
          <w:rFonts w:ascii="Times New Roman" w:hAnsi="Times New Roman" w:cs="Times New Roman"/>
          <w:sz w:val="24"/>
          <w:szCs w:val="24"/>
        </w:rPr>
      </w:pPr>
    </w:p>
    <w:p w14:paraId="352B6AA4" w14:textId="5DA6DEDB" w:rsidR="00AF13E7" w:rsidRDefault="00AF13E7" w:rsidP="009A7EAA">
      <w:pPr>
        <w:spacing w:after="0"/>
        <w:rPr>
          <w:rFonts w:ascii="Times New Roman" w:hAnsi="Times New Roman" w:cs="Times New Roman"/>
          <w:sz w:val="24"/>
          <w:szCs w:val="24"/>
        </w:rPr>
      </w:pPr>
    </w:p>
    <w:p w14:paraId="65C06A1F" w14:textId="21B41D0D" w:rsidR="00AF13E7" w:rsidRDefault="00AF13E7" w:rsidP="009A7EAA">
      <w:pPr>
        <w:spacing w:after="0"/>
        <w:rPr>
          <w:rFonts w:ascii="Times New Roman" w:hAnsi="Times New Roman" w:cs="Times New Roman"/>
          <w:sz w:val="24"/>
          <w:szCs w:val="24"/>
        </w:rPr>
      </w:pPr>
    </w:p>
    <w:p w14:paraId="15CB43E2" w14:textId="31F7E582" w:rsidR="00AF13E7" w:rsidRDefault="00AF13E7" w:rsidP="009A7EAA">
      <w:pPr>
        <w:spacing w:after="0"/>
        <w:rPr>
          <w:rFonts w:ascii="Times New Roman" w:hAnsi="Times New Roman" w:cs="Times New Roman"/>
          <w:sz w:val="24"/>
          <w:szCs w:val="24"/>
        </w:rPr>
      </w:pPr>
    </w:p>
    <w:p w14:paraId="0E2C6CBE" w14:textId="5954778F" w:rsidR="00AF13E7" w:rsidRDefault="00AF13E7" w:rsidP="009A7EAA">
      <w:pPr>
        <w:spacing w:after="0"/>
        <w:rPr>
          <w:rFonts w:ascii="Times New Roman" w:hAnsi="Times New Roman" w:cs="Times New Roman"/>
          <w:sz w:val="24"/>
          <w:szCs w:val="24"/>
        </w:rPr>
      </w:pPr>
    </w:p>
    <w:p w14:paraId="187B8E2E" w14:textId="570A3D65" w:rsidR="00AF13E7" w:rsidRDefault="00AF13E7" w:rsidP="009A7EAA">
      <w:pPr>
        <w:spacing w:after="0"/>
        <w:rPr>
          <w:rFonts w:ascii="Times New Roman" w:hAnsi="Times New Roman" w:cs="Times New Roman"/>
          <w:sz w:val="24"/>
          <w:szCs w:val="24"/>
        </w:rPr>
      </w:pPr>
    </w:p>
    <w:p w14:paraId="3EE23EDB" w14:textId="0892385F" w:rsidR="00AF13E7" w:rsidRDefault="00AF13E7" w:rsidP="009A7EAA">
      <w:pPr>
        <w:spacing w:after="0"/>
        <w:rPr>
          <w:rFonts w:ascii="Times New Roman" w:hAnsi="Times New Roman" w:cs="Times New Roman"/>
          <w:sz w:val="24"/>
          <w:szCs w:val="24"/>
        </w:rPr>
      </w:pPr>
    </w:p>
    <w:p w14:paraId="6E5413CD" w14:textId="77777777" w:rsidR="009A7EAA" w:rsidRDefault="009A7EAA" w:rsidP="009A7EAA">
      <w:pPr>
        <w:spacing w:after="0"/>
        <w:rPr>
          <w:rFonts w:ascii="Times New Roman" w:hAnsi="Times New Roman" w:cs="Times New Roman"/>
          <w:sz w:val="24"/>
          <w:szCs w:val="24"/>
        </w:rPr>
      </w:pPr>
    </w:p>
    <w:p w14:paraId="7BAF437F" w14:textId="17A8D628" w:rsidR="009A7EAA" w:rsidRDefault="009A7EAA" w:rsidP="009A7EAA">
      <w:pPr>
        <w:spacing w:after="0"/>
        <w:rPr>
          <w:rFonts w:ascii="Times New Roman" w:hAnsi="Times New Roman" w:cs="Times New Roman"/>
          <w:sz w:val="24"/>
          <w:szCs w:val="24"/>
        </w:rPr>
      </w:pPr>
    </w:p>
    <w:p w14:paraId="432C7D45" w14:textId="77777777" w:rsidR="00356543" w:rsidRDefault="00356543" w:rsidP="009A7EAA">
      <w:pPr>
        <w:spacing w:after="0"/>
        <w:rPr>
          <w:rFonts w:ascii="Times New Roman" w:hAnsi="Times New Roman" w:cs="Times New Roman"/>
          <w:sz w:val="24"/>
          <w:szCs w:val="24"/>
        </w:rPr>
      </w:pPr>
      <w:bookmarkStart w:id="2" w:name="_GoBack"/>
      <w:bookmarkEnd w:id="2"/>
    </w:p>
    <w:p w14:paraId="0DBD5587" w14:textId="4702F4EA" w:rsidR="009A7EAA" w:rsidRPr="001F23C2" w:rsidRDefault="009A7EAA" w:rsidP="00F75BD1">
      <w:r>
        <w:t xml:space="preserve">La CAF </w:t>
      </w:r>
      <w:r w:rsidRPr="001F23C2">
        <w:t xml:space="preserve">indique les ressources potentielles de trésorerie de l’entreprise. </w:t>
      </w:r>
      <w:r w:rsidRPr="001F23C2">
        <w:rPr>
          <w:lang w:eastAsia="fr-FR"/>
        </w:rPr>
        <w:t>La capacité d’autofinancement permet de répondre en totalité ou en partie aux besoins de financement de l’entreprise</w:t>
      </w:r>
      <w:r>
        <w:rPr>
          <w:lang w:eastAsia="fr-FR"/>
        </w:rPr>
        <w:t>, à savoir</w:t>
      </w:r>
      <w:r w:rsidR="00F75BD1">
        <w:rPr>
          <w:lang w:eastAsia="fr-FR"/>
        </w:rPr>
        <w:t> :</w:t>
      </w:r>
    </w:p>
    <w:p w14:paraId="3386CF38" w14:textId="77777777" w:rsidR="009A7EAA" w:rsidRPr="001F23C2" w:rsidRDefault="009A7EAA" w:rsidP="00F75BD1">
      <w:pPr>
        <w:pStyle w:val="Paragraphedeliste"/>
        <w:numPr>
          <w:ilvl w:val="0"/>
          <w:numId w:val="33"/>
        </w:numPr>
      </w:pPr>
      <w:r>
        <w:rPr>
          <w:lang w:eastAsia="fr-FR"/>
        </w:rPr>
        <w:t>l</w:t>
      </w:r>
      <w:r w:rsidRPr="001F23C2">
        <w:rPr>
          <w:lang w:eastAsia="fr-FR"/>
        </w:rPr>
        <w:t>a réalisation des investissements, caractérisée par l’acquisition d’</w:t>
      </w:r>
      <w:hyperlink r:id="rId11" w:tooltip="immobilisations" w:history="1">
        <w:r w:rsidRPr="001F23C2">
          <w:rPr>
            <w:lang w:eastAsia="fr-FR"/>
          </w:rPr>
          <w:t>immobilisations</w:t>
        </w:r>
      </w:hyperlink>
      <w:r w:rsidRPr="001F23C2">
        <w:rPr>
          <w:lang w:eastAsia="fr-FR"/>
        </w:rPr>
        <w:t>,</w:t>
      </w:r>
    </w:p>
    <w:p w14:paraId="55C87381" w14:textId="77777777" w:rsidR="009A7EAA" w:rsidRPr="001F23C2" w:rsidRDefault="009A7EAA" w:rsidP="00F75BD1">
      <w:pPr>
        <w:pStyle w:val="Paragraphedeliste"/>
        <w:numPr>
          <w:ilvl w:val="0"/>
          <w:numId w:val="33"/>
        </w:numPr>
      </w:pPr>
      <w:r>
        <w:rPr>
          <w:lang w:eastAsia="fr-FR"/>
        </w:rPr>
        <w:t>l</w:t>
      </w:r>
      <w:r w:rsidRPr="001F23C2">
        <w:rPr>
          <w:lang w:eastAsia="fr-FR"/>
        </w:rPr>
        <w:t>e versement des dividendes aux associés ou actionnaires de l’entreprise,</w:t>
      </w:r>
    </w:p>
    <w:p w14:paraId="060405BE" w14:textId="77777777" w:rsidR="009A7EAA" w:rsidRPr="001F23C2" w:rsidRDefault="009A7EAA" w:rsidP="00F75BD1">
      <w:pPr>
        <w:pStyle w:val="Paragraphedeliste"/>
        <w:numPr>
          <w:ilvl w:val="0"/>
          <w:numId w:val="33"/>
        </w:numPr>
      </w:pPr>
      <w:r>
        <w:rPr>
          <w:lang w:eastAsia="fr-FR"/>
        </w:rPr>
        <w:t>l</w:t>
      </w:r>
      <w:r w:rsidRPr="001F23C2">
        <w:rPr>
          <w:lang w:eastAsia="fr-FR"/>
        </w:rPr>
        <w:t xml:space="preserve">e remboursement des </w:t>
      </w:r>
      <w:hyperlink r:id="rId12" w:tooltip="prêt bancaire" w:history="1">
        <w:r w:rsidRPr="001F23C2">
          <w:rPr>
            <w:lang w:eastAsia="fr-FR"/>
          </w:rPr>
          <w:t>prêts bancaires</w:t>
        </w:r>
      </w:hyperlink>
      <w:r w:rsidRPr="001F23C2">
        <w:rPr>
          <w:lang w:eastAsia="fr-FR"/>
        </w:rPr>
        <w:t xml:space="preserve"> auprès des institutions financières,</w:t>
      </w:r>
    </w:p>
    <w:p w14:paraId="512EA15F" w14:textId="26FB3AED" w:rsidR="00880A2E" w:rsidRDefault="009A7EAA" w:rsidP="00102E1C">
      <w:pPr>
        <w:pStyle w:val="Paragraphedeliste"/>
        <w:numPr>
          <w:ilvl w:val="0"/>
          <w:numId w:val="33"/>
        </w:numPr>
      </w:pPr>
      <w:r>
        <w:rPr>
          <w:lang w:eastAsia="fr-FR"/>
        </w:rPr>
        <w:t>l</w:t>
      </w:r>
      <w:r w:rsidRPr="001F23C2">
        <w:rPr>
          <w:lang w:eastAsia="fr-FR"/>
        </w:rPr>
        <w:t>e règlement des dettes envers les fournisseurs, les caisses sociales ou l’</w:t>
      </w:r>
      <w:r w:rsidR="00F75BD1">
        <w:rPr>
          <w:lang w:eastAsia="fr-FR"/>
        </w:rPr>
        <w:t>É</w:t>
      </w:r>
      <w:r w:rsidRPr="001F23C2">
        <w:rPr>
          <w:lang w:eastAsia="fr-FR"/>
        </w:rPr>
        <w:t>tat.</w:t>
      </w:r>
    </w:p>
    <w:sectPr w:rsidR="00880A2E">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CC82F3" w14:textId="77777777" w:rsidR="00D0388E" w:rsidRDefault="00D0388E" w:rsidP="00A715E6">
      <w:r>
        <w:separator/>
      </w:r>
    </w:p>
  </w:endnote>
  <w:endnote w:type="continuationSeparator" w:id="0">
    <w:p w14:paraId="5E036B77" w14:textId="77777777" w:rsidR="00D0388E" w:rsidRDefault="00D0388E" w:rsidP="00A71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lwyn New Rounded Lt">
    <w:altName w:val="Calibri"/>
    <w:panose1 w:val="00000000000000000000"/>
    <w:charset w:val="00"/>
    <w:family w:val="modern"/>
    <w:notTrueType/>
    <w:pitch w:val="variable"/>
    <w:sig w:usb0="A00000AF" w:usb1="5000204A" w:usb2="00000000" w:usb3="00000000" w:csb0="0000008B"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auto"/>
    <w:pitch w:val="default"/>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7F6EE" w14:textId="77777777" w:rsidR="006F664C" w:rsidRDefault="006F664C" w:rsidP="00A715E6">
    <w:pPr>
      <w:pStyle w:val="Pieddepage"/>
    </w:pPr>
    <w:r>
      <w:t>© Delagrave</w:t>
    </w:r>
  </w:p>
  <w:p w14:paraId="1228EF6A" w14:textId="77777777" w:rsidR="006F664C" w:rsidRDefault="006F664C" w:rsidP="00A715E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FC8AF5" w14:textId="77777777" w:rsidR="00D0388E" w:rsidRDefault="00D0388E" w:rsidP="00A715E6">
      <w:r>
        <w:separator/>
      </w:r>
    </w:p>
  </w:footnote>
  <w:footnote w:type="continuationSeparator" w:id="0">
    <w:p w14:paraId="6BE095CC" w14:textId="77777777" w:rsidR="00D0388E" w:rsidRDefault="00D0388E" w:rsidP="00A715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44218"/>
    <w:multiLevelType w:val="hybridMultilevel"/>
    <w:tmpl w:val="8E1670F2"/>
    <w:lvl w:ilvl="0" w:tplc="8BD26DB0">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7D2634"/>
    <w:multiLevelType w:val="hybridMultilevel"/>
    <w:tmpl w:val="6770C73A"/>
    <w:lvl w:ilvl="0" w:tplc="2EEEE91C">
      <w:start w:val="1"/>
      <w:numFmt w:val="bullet"/>
      <w:lvlText w:val="-"/>
      <w:lvlJc w:val="left"/>
      <w:pPr>
        <w:ind w:left="720" w:hanging="360"/>
      </w:pPr>
      <w:rPr>
        <w:rFonts w:ascii="Times New Roman" w:eastAsia="Wingdings"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2B25A9"/>
    <w:multiLevelType w:val="hybridMultilevel"/>
    <w:tmpl w:val="ED928CE6"/>
    <w:lvl w:ilvl="0" w:tplc="610EAB3E">
      <w:start w:val="1"/>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3" w15:restartNumberingAfterBreak="0">
    <w:nsid w:val="10DD2AC8"/>
    <w:multiLevelType w:val="hybridMultilevel"/>
    <w:tmpl w:val="EAF0BDFA"/>
    <w:lvl w:ilvl="0" w:tplc="E882846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2AC0049"/>
    <w:multiLevelType w:val="hybridMultilevel"/>
    <w:tmpl w:val="14B6F4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54C2C5F"/>
    <w:multiLevelType w:val="hybridMultilevel"/>
    <w:tmpl w:val="DAAEFEFC"/>
    <w:lvl w:ilvl="0" w:tplc="3982A8D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7CA5718"/>
    <w:multiLevelType w:val="hybridMultilevel"/>
    <w:tmpl w:val="BA96A2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CF067FF"/>
    <w:multiLevelType w:val="hybridMultilevel"/>
    <w:tmpl w:val="E104E7A2"/>
    <w:lvl w:ilvl="0" w:tplc="8738FC26">
      <w:numFmt w:val="bullet"/>
      <w:lvlText w:val="-"/>
      <w:lvlJc w:val="left"/>
      <w:pPr>
        <w:ind w:left="1068" w:hanging="360"/>
      </w:pPr>
      <w:rPr>
        <w:rFonts w:ascii="Times New Roman" w:eastAsiaTheme="minorHAnsi"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 w15:restartNumberingAfterBreak="0">
    <w:nsid w:val="211F68E0"/>
    <w:multiLevelType w:val="hybridMultilevel"/>
    <w:tmpl w:val="08F04902"/>
    <w:lvl w:ilvl="0" w:tplc="34109838">
      <w:start w:val="1"/>
      <w:numFmt w:val="decimal"/>
      <w:pStyle w:val="Titre2"/>
      <w:lvlText w:val="%1."/>
      <w:lvlJc w:val="left"/>
      <w:pPr>
        <w:ind w:left="360" w:hanging="360"/>
      </w:pPr>
    </w:lvl>
    <w:lvl w:ilvl="1" w:tplc="3846233E">
      <w:start w:val="1"/>
      <w:numFmt w:val="lowerLetter"/>
      <w:pStyle w:val="Titre3"/>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9" w15:restartNumberingAfterBreak="0">
    <w:nsid w:val="21724F7A"/>
    <w:multiLevelType w:val="hybridMultilevel"/>
    <w:tmpl w:val="FF248C6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54D24B2"/>
    <w:multiLevelType w:val="hybridMultilevel"/>
    <w:tmpl w:val="0D3E4A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7D13AA0"/>
    <w:multiLevelType w:val="hybridMultilevel"/>
    <w:tmpl w:val="10780E94"/>
    <w:lvl w:ilvl="0" w:tplc="774E5570">
      <w:start w:val="5"/>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C822AB2"/>
    <w:multiLevelType w:val="hybridMultilevel"/>
    <w:tmpl w:val="35A09942"/>
    <w:lvl w:ilvl="0" w:tplc="F088177E">
      <w:start w:val="1"/>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E7E4F03"/>
    <w:multiLevelType w:val="hybridMultilevel"/>
    <w:tmpl w:val="84AE85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03F2934"/>
    <w:multiLevelType w:val="hybridMultilevel"/>
    <w:tmpl w:val="A448F5E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11644D7"/>
    <w:multiLevelType w:val="hybridMultilevel"/>
    <w:tmpl w:val="8B384402"/>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3482152"/>
    <w:multiLevelType w:val="hybridMultilevel"/>
    <w:tmpl w:val="B69C1A80"/>
    <w:lvl w:ilvl="0" w:tplc="82849312">
      <w:numFmt w:val="bullet"/>
      <w:lvlText w:val="-"/>
      <w:lvlJc w:val="left"/>
      <w:pPr>
        <w:ind w:left="720" w:hanging="360"/>
      </w:pPr>
      <w:rPr>
        <w:rFonts w:ascii="Calibri" w:eastAsia="Calibri" w:hAnsi="Calibri" w:cs="Calibr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5301E61"/>
    <w:multiLevelType w:val="hybridMultilevel"/>
    <w:tmpl w:val="572CB88E"/>
    <w:lvl w:ilvl="0" w:tplc="E9F63DE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87521DB"/>
    <w:multiLevelType w:val="hybridMultilevel"/>
    <w:tmpl w:val="27C61C8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B39294D"/>
    <w:multiLevelType w:val="multilevel"/>
    <w:tmpl w:val="5316F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CD62963"/>
    <w:multiLevelType w:val="hybridMultilevel"/>
    <w:tmpl w:val="0B401104"/>
    <w:lvl w:ilvl="0" w:tplc="AD88BE1E">
      <w:numFmt w:val="bullet"/>
      <w:lvlText w:val="-"/>
      <w:lvlJc w:val="left"/>
      <w:pPr>
        <w:ind w:left="644" w:hanging="360"/>
      </w:pPr>
      <w:rPr>
        <w:rFonts w:ascii="Times New Roman" w:eastAsiaTheme="minorHAnsi"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12C0761"/>
    <w:multiLevelType w:val="hybridMultilevel"/>
    <w:tmpl w:val="A2EE1F12"/>
    <w:lvl w:ilvl="0" w:tplc="F1DE50FE">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2197254"/>
    <w:multiLevelType w:val="hybridMultilevel"/>
    <w:tmpl w:val="6DD4C506"/>
    <w:lvl w:ilvl="0" w:tplc="4614C8E4">
      <w:start w:val="3"/>
      <w:numFmt w:val="decimal"/>
      <w:lvlText w:val="%1"/>
      <w:lvlJc w:val="left"/>
      <w:pPr>
        <w:ind w:left="1920" w:hanging="360"/>
      </w:pPr>
      <w:rPr>
        <w:rFonts w:hint="default"/>
      </w:rPr>
    </w:lvl>
    <w:lvl w:ilvl="1" w:tplc="040C0019" w:tentative="1">
      <w:start w:val="1"/>
      <w:numFmt w:val="lowerLetter"/>
      <w:lvlText w:val="%2."/>
      <w:lvlJc w:val="left"/>
      <w:pPr>
        <w:ind w:left="2640" w:hanging="360"/>
      </w:pPr>
    </w:lvl>
    <w:lvl w:ilvl="2" w:tplc="040C001B" w:tentative="1">
      <w:start w:val="1"/>
      <w:numFmt w:val="lowerRoman"/>
      <w:lvlText w:val="%3."/>
      <w:lvlJc w:val="right"/>
      <w:pPr>
        <w:ind w:left="3360" w:hanging="180"/>
      </w:pPr>
    </w:lvl>
    <w:lvl w:ilvl="3" w:tplc="040C000F" w:tentative="1">
      <w:start w:val="1"/>
      <w:numFmt w:val="decimal"/>
      <w:lvlText w:val="%4."/>
      <w:lvlJc w:val="left"/>
      <w:pPr>
        <w:ind w:left="4080" w:hanging="360"/>
      </w:pPr>
    </w:lvl>
    <w:lvl w:ilvl="4" w:tplc="040C0019" w:tentative="1">
      <w:start w:val="1"/>
      <w:numFmt w:val="lowerLetter"/>
      <w:lvlText w:val="%5."/>
      <w:lvlJc w:val="left"/>
      <w:pPr>
        <w:ind w:left="4800" w:hanging="360"/>
      </w:pPr>
    </w:lvl>
    <w:lvl w:ilvl="5" w:tplc="040C001B" w:tentative="1">
      <w:start w:val="1"/>
      <w:numFmt w:val="lowerRoman"/>
      <w:lvlText w:val="%6."/>
      <w:lvlJc w:val="right"/>
      <w:pPr>
        <w:ind w:left="5520" w:hanging="180"/>
      </w:pPr>
    </w:lvl>
    <w:lvl w:ilvl="6" w:tplc="040C000F" w:tentative="1">
      <w:start w:val="1"/>
      <w:numFmt w:val="decimal"/>
      <w:lvlText w:val="%7."/>
      <w:lvlJc w:val="left"/>
      <w:pPr>
        <w:ind w:left="6240" w:hanging="360"/>
      </w:pPr>
    </w:lvl>
    <w:lvl w:ilvl="7" w:tplc="040C0019" w:tentative="1">
      <w:start w:val="1"/>
      <w:numFmt w:val="lowerLetter"/>
      <w:lvlText w:val="%8."/>
      <w:lvlJc w:val="left"/>
      <w:pPr>
        <w:ind w:left="6960" w:hanging="360"/>
      </w:pPr>
    </w:lvl>
    <w:lvl w:ilvl="8" w:tplc="040C001B" w:tentative="1">
      <w:start w:val="1"/>
      <w:numFmt w:val="lowerRoman"/>
      <w:lvlText w:val="%9."/>
      <w:lvlJc w:val="right"/>
      <w:pPr>
        <w:ind w:left="7680" w:hanging="180"/>
      </w:pPr>
    </w:lvl>
  </w:abstractNum>
  <w:abstractNum w:abstractNumId="23" w15:restartNumberingAfterBreak="0">
    <w:nsid w:val="4D674000"/>
    <w:multiLevelType w:val="hybridMultilevel"/>
    <w:tmpl w:val="F222AA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AA3638A"/>
    <w:multiLevelType w:val="hybridMultilevel"/>
    <w:tmpl w:val="D1180C80"/>
    <w:lvl w:ilvl="0" w:tplc="040C0015">
      <w:start w:val="1"/>
      <w:numFmt w:val="upp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1F83644"/>
    <w:multiLevelType w:val="hybridMultilevel"/>
    <w:tmpl w:val="D66CA332"/>
    <w:lvl w:ilvl="0" w:tplc="C6C03364">
      <w:numFmt w:val="bullet"/>
      <w:lvlText w:val="-"/>
      <w:lvlJc w:val="left"/>
      <w:pPr>
        <w:ind w:left="720" w:hanging="360"/>
      </w:pPr>
      <w:rPr>
        <w:rFonts w:ascii="Times New Roman" w:eastAsiaTheme="minorHAnsi"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A1C0EBC"/>
    <w:multiLevelType w:val="hybridMultilevel"/>
    <w:tmpl w:val="048496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27C3E2E"/>
    <w:multiLevelType w:val="hybridMultilevel"/>
    <w:tmpl w:val="731691E8"/>
    <w:lvl w:ilvl="0" w:tplc="E9F63DE8">
      <w:start w:val="1"/>
      <w:numFmt w:val="bullet"/>
      <w:lvlText w:val=""/>
      <w:lvlJc w:val="left"/>
      <w:pPr>
        <w:ind w:left="720" w:hanging="360"/>
      </w:pPr>
      <w:rPr>
        <w:rFonts w:ascii="Symbol" w:hAnsi="Symbol" w:hint="default"/>
      </w:rPr>
    </w:lvl>
    <w:lvl w:ilvl="1" w:tplc="DE66A966">
      <w:numFmt w:val="bullet"/>
      <w:lvlText w:val="-"/>
      <w:lvlJc w:val="left"/>
      <w:pPr>
        <w:ind w:left="1440" w:hanging="36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52563AC"/>
    <w:multiLevelType w:val="hybridMultilevel"/>
    <w:tmpl w:val="01BAB86C"/>
    <w:lvl w:ilvl="0" w:tplc="52620C7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7B500C66"/>
    <w:multiLevelType w:val="hybridMultilevel"/>
    <w:tmpl w:val="7144975C"/>
    <w:lvl w:ilvl="0" w:tplc="22127770">
      <w:start w:val="5"/>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E3632D8"/>
    <w:multiLevelType w:val="hybridMultilevel"/>
    <w:tmpl w:val="9AA0721E"/>
    <w:lvl w:ilvl="0" w:tplc="0476961E">
      <w:start w:val="1"/>
      <w:numFmt w:val="lowerLetter"/>
      <w:lvlText w:val="%1."/>
      <w:lvlJc w:val="left"/>
      <w:pPr>
        <w:ind w:left="1080" w:hanging="360"/>
      </w:p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040C000F">
      <w:start w:val="1"/>
      <w:numFmt w:val="decimal"/>
      <w:lvlText w:val="%4."/>
      <w:lvlJc w:val="left"/>
      <w:pPr>
        <w:ind w:left="3240" w:hanging="360"/>
      </w:pPr>
    </w:lvl>
    <w:lvl w:ilvl="4" w:tplc="040C0019">
      <w:start w:val="1"/>
      <w:numFmt w:val="lowerLetter"/>
      <w:lvlText w:val="%5."/>
      <w:lvlJc w:val="left"/>
      <w:pPr>
        <w:ind w:left="3960" w:hanging="360"/>
      </w:pPr>
    </w:lvl>
    <w:lvl w:ilvl="5" w:tplc="040C001B">
      <w:start w:val="1"/>
      <w:numFmt w:val="lowerRoman"/>
      <w:lvlText w:val="%6."/>
      <w:lvlJc w:val="right"/>
      <w:pPr>
        <w:ind w:left="4680" w:hanging="180"/>
      </w:pPr>
    </w:lvl>
    <w:lvl w:ilvl="6" w:tplc="040C000F">
      <w:start w:val="1"/>
      <w:numFmt w:val="decimal"/>
      <w:lvlText w:val="%7."/>
      <w:lvlJc w:val="left"/>
      <w:pPr>
        <w:ind w:left="5400" w:hanging="360"/>
      </w:pPr>
    </w:lvl>
    <w:lvl w:ilvl="7" w:tplc="040C0019">
      <w:start w:val="1"/>
      <w:numFmt w:val="lowerLetter"/>
      <w:lvlText w:val="%8."/>
      <w:lvlJc w:val="left"/>
      <w:pPr>
        <w:ind w:left="6120" w:hanging="360"/>
      </w:pPr>
    </w:lvl>
    <w:lvl w:ilvl="8" w:tplc="040C001B">
      <w:start w:val="1"/>
      <w:numFmt w:val="lowerRoman"/>
      <w:lvlText w:val="%9."/>
      <w:lvlJc w:val="right"/>
      <w:pPr>
        <w:ind w:left="684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17"/>
  </w:num>
  <w:num w:numId="4">
    <w:abstractNumId w:val="14"/>
  </w:num>
  <w:num w:numId="5">
    <w:abstractNumId w:val="4"/>
  </w:num>
  <w:num w:numId="6">
    <w:abstractNumId w:val="22"/>
  </w:num>
  <w:num w:numId="7">
    <w:abstractNumId w:val="29"/>
  </w:num>
  <w:num w:numId="8">
    <w:abstractNumId w:val="12"/>
  </w:num>
  <w:num w:numId="9">
    <w:abstractNumId w:val="10"/>
  </w:num>
  <w:num w:numId="10">
    <w:abstractNumId w:val="6"/>
  </w:num>
  <w:num w:numId="11">
    <w:abstractNumId w:val="28"/>
  </w:num>
  <w:num w:numId="12">
    <w:abstractNumId w:val="11"/>
  </w:num>
  <w:num w:numId="13">
    <w:abstractNumId w:val="24"/>
  </w:num>
  <w:num w:numId="14">
    <w:abstractNumId w:val="15"/>
  </w:num>
  <w:num w:numId="15">
    <w:abstractNumId w:val="2"/>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20"/>
  </w:num>
  <w:num w:numId="21">
    <w:abstractNumId w:val="25"/>
  </w:num>
  <w:num w:numId="22">
    <w:abstractNumId w:val="16"/>
  </w:num>
  <w:num w:numId="23">
    <w:abstractNumId w:val="7"/>
  </w:num>
  <w:num w:numId="24">
    <w:abstractNumId w:val="19"/>
  </w:num>
  <w:num w:numId="25">
    <w:abstractNumId w:val="21"/>
  </w:num>
  <w:num w:numId="26">
    <w:abstractNumId w:val="3"/>
  </w:num>
  <w:num w:numId="27">
    <w:abstractNumId w:val="18"/>
  </w:num>
  <w:num w:numId="28">
    <w:abstractNumId w:val="5"/>
  </w:num>
  <w:num w:numId="29">
    <w:abstractNumId w:val="9"/>
  </w:num>
  <w:num w:numId="30">
    <w:abstractNumId w:val="13"/>
  </w:num>
  <w:num w:numId="31">
    <w:abstractNumId w:val="23"/>
  </w:num>
  <w:num w:numId="32">
    <w:abstractNumId w:val="0"/>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5DE2"/>
    <w:rsid w:val="00102E1C"/>
    <w:rsid w:val="00136335"/>
    <w:rsid w:val="001573AC"/>
    <w:rsid w:val="001B5DE2"/>
    <w:rsid w:val="00206267"/>
    <w:rsid w:val="003521D7"/>
    <w:rsid w:val="003525DC"/>
    <w:rsid w:val="00356543"/>
    <w:rsid w:val="003A6F4D"/>
    <w:rsid w:val="003B7549"/>
    <w:rsid w:val="00404A02"/>
    <w:rsid w:val="00471A56"/>
    <w:rsid w:val="004A2233"/>
    <w:rsid w:val="00525C0E"/>
    <w:rsid w:val="00553262"/>
    <w:rsid w:val="0056408A"/>
    <w:rsid w:val="005D1398"/>
    <w:rsid w:val="00681F78"/>
    <w:rsid w:val="006A20A6"/>
    <w:rsid w:val="006C3752"/>
    <w:rsid w:val="006F664C"/>
    <w:rsid w:val="00880A2E"/>
    <w:rsid w:val="008D3203"/>
    <w:rsid w:val="00916B25"/>
    <w:rsid w:val="009517EE"/>
    <w:rsid w:val="00986690"/>
    <w:rsid w:val="009A5D11"/>
    <w:rsid w:val="009A7EAA"/>
    <w:rsid w:val="00A715E6"/>
    <w:rsid w:val="00A742CC"/>
    <w:rsid w:val="00AF13E7"/>
    <w:rsid w:val="00B77771"/>
    <w:rsid w:val="00B94FF6"/>
    <w:rsid w:val="00BE03ED"/>
    <w:rsid w:val="00BF7364"/>
    <w:rsid w:val="00C04123"/>
    <w:rsid w:val="00C511AB"/>
    <w:rsid w:val="00C73FC0"/>
    <w:rsid w:val="00CA5B74"/>
    <w:rsid w:val="00CB2DB8"/>
    <w:rsid w:val="00CB7E6C"/>
    <w:rsid w:val="00CC3125"/>
    <w:rsid w:val="00D0388E"/>
    <w:rsid w:val="00D71156"/>
    <w:rsid w:val="00E213FA"/>
    <w:rsid w:val="00E31277"/>
    <w:rsid w:val="00E71C06"/>
    <w:rsid w:val="00E72EB7"/>
    <w:rsid w:val="00F10F58"/>
    <w:rsid w:val="00F35C1F"/>
    <w:rsid w:val="00F75BD1"/>
    <w:rsid w:val="00FD177E"/>
    <w:rsid w:val="00FF4CD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16D54424"/>
  <w15:docId w15:val="{8043AF55-0C98-46AA-BDCD-EB242196F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15E6"/>
    <w:pPr>
      <w:spacing w:after="200" w:line="276" w:lineRule="auto"/>
      <w:jc w:val="both"/>
    </w:pPr>
    <w:rPr>
      <w:rFonts w:asciiTheme="minorHAnsi" w:hAnsiTheme="minorHAnsi" w:cstheme="minorHAnsi"/>
      <w:sz w:val="22"/>
      <w:szCs w:val="22"/>
      <w:lang w:eastAsia="en-US"/>
    </w:rPr>
  </w:style>
  <w:style w:type="paragraph" w:styleId="Titre1">
    <w:name w:val="heading 1"/>
    <w:basedOn w:val="Normal"/>
    <w:next w:val="Normal"/>
    <w:link w:val="Titre1Car"/>
    <w:uiPriority w:val="9"/>
    <w:qFormat/>
    <w:rsid w:val="00E72EB7"/>
    <w:pPr>
      <w:spacing w:before="240"/>
      <w:outlineLvl w:val="0"/>
    </w:pPr>
    <w:rPr>
      <w:rFonts w:ascii="Alwyn New Rounded Lt" w:hAnsi="Alwyn New Rounded Lt"/>
      <w:b/>
      <w:color w:val="000099"/>
      <w:sz w:val="40"/>
    </w:rPr>
  </w:style>
  <w:style w:type="paragraph" w:styleId="Titre2">
    <w:name w:val="heading 2"/>
    <w:basedOn w:val="Normal"/>
    <w:next w:val="Normal"/>
    <w:link w:val="Titre2Car"/>
    <w:uiPriority w:val="9"/>
    <w:unhideWhenUsed/>
    <w:qFormat/>
    <w:rsid w:val="00E72EB7"/>
    <w:pPr>
      <w:numPr>
        <w:numId w:val="1"/>
      </w:numPr>
      <w:outlineLvl w:val="1"/>
    </w:pPr>
    <w:rPr>
      <w:rFonts w:ascii="Alwyn New Rounded Lt" w:hAnsi="Alwyn New Rounded Lt"/>
      <w:color w:val="006600"/>
      <w:sz w:val="32"/>
    </w:rPr>
  </w:style>
  <w:style w:type="paragraph" w:styleId="Titre3">
    <w:name w:val="heading 3"/>
    <w:basedOn w:val="Titre2"/>
    <w:next w:val="Normal"/>
    <w:link w:val="Titre3Car"/>
    <w:uiPriority w:val="9"/>
    <w:unhideWhenUsed/>
    <w:qFormat/>
    <w:rsid w:val="00E72EB7"/>
    <w:pPr>
      <w:numPr>
        <w:ilvl w:val="1"/>
      </w:numPr>
      <w:outlineLvl w:val="2"/>
    </w:pPr>
    <w:rPr>
      <w:color w:val="943634" w:themeColor="accent2" w:themeShade="BF"/>
    </w:rPr>
  </w:style>
  <w:style w:type="paragraph" w:styleId="Titre4">
    <w:name w:val="heading 4"/>
    <w:basedOn w:val="Normal"/>
    <w:next w:val="Normal"/>
    <w:link w:val="Titre4Car"/>
    <w:uiPriority w:val="9"/>
    <w:unhideWhenUsed/>
    <w:qFormat/>
    <w:rsid w:val="0098669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72EB7"/>
    <w:rPr>
      <w:rFonts w:ascii="Alwyn New Rounded Lt" w:hAnsi="Alwyn New Rounded Lt"/>
      <w:b/>
      <w:color w:val="000099"/>
      <w:sz w:val="40"/>
      <w:szCs w:val="22"/>
      <w:lang w:eastAsia="en-US"/>
    </w:rPr>
  </w:style>
  <w:style w:type="character" w:customStyle="1" w:styleId="Titre2Car">
    <w:name w:val="Titre 2 Car"/>
    <w:basedOn w:val="Policepardfaut"/>
    <w:link w:val="Titre2"/>
    <w:uiPriority w:val="9"/>
    <w:rsid w:val="00E72EB7"/>
    <w:rPr>
      <w:rFonts w:ascii="Alwyn New Rounded Lt" w:hAnsi="Alwyn New Rounded Lt"/>
      <w:color w:val="006600"/>
      <w:sz w:val="32"/>
      <w:szCs w:val="22"/>
      <w:lang w:eastAsia="en-US"/>
    </w:rPr>
  </w:style>
  <w:style w:type="character" w:customStyle="1" w:styleId="Titre3Car">
    <w:name w:val="Titre 3 Car"/>
    <w:basedOn w:val="Policepardfaut"/>
    <w:link w:val="Titre3"/>
    <w:uiPriority w:val="9"/>
    <w:rsid w:val="00E72EB7"/>
    <w:rPr>
      <w:rFonts w:ascii="Alwyn New Rounded Lt" w:hAnsi="Alwyn New Rounded Lt"/>
      <w:color w:val="943634" w:themeColor="accent2" w:themeShade="BF"/>
      <w:sz w:val="32"/>
      <w:szCs w:val="22"/>
      <w:lang w:eastAsia="en-US"/>
    </w:rPr>
  </w:style>
  <w:style w:type="paragraph" w:styleId="En-tte">
    <w:name w:val="header"/>
    <w:basedOn w:val="Normal"/>
    <w:link w:val="En-tteCar"/>
    <w:uiPriority w:val="99"/>
    <w:unhideWhenUsed/>
    <w:rsid w:val="006F664C"/>
    <w:pPr>
      <w:tabs>
        <w:tab w:val="center" w:pos="4536"/>
        <w:tab w:val="right" w:pos="9072"/>
      </w:tabs>
      <w:spacing w:after="0" w:line="240" w:lineRule="auto"/>
    </w:pPr>
  </w:style>
  <w:style w:type="character" w:customStyle="1" w:styleId="En-tteCar">
    <w:name w:val="En-tête Car"/>
    <w:basedOn w:val="Policepardfaut"/>
    <w:link w:val="En-tte"/>
    <w:uiPriority w:val="99"/>
    <w:rsid w:val="006F664C"/>
    <w:rPr>
      <w:sz w:val="22"/>
      <w:szCs w:val="22"/>
      <w:lang w:eastAsia="en-US"/>
    </w:rPr>
  </w:style>
  <w:style w:type="paragraph" w:styleId="Pieddepage">
    <w:name w:val="footer"/>
    <w:basedOn w:val="Normal"/>
    <w:link w:val="PieddepageCar"/>
    <w:uiPriority w:val="99"/>
    <w:unhideWhenUsed/>
    <w:rsid w:val="006F664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F664C"/>
    <w:rPr>
      <w:sz w:val="22"/>
      <w:szCs w:val="22"/>
      <w:lang w:eastAsia="en-US"/>
    </w:rPr>
  </w:style>
  <w:style w:type="paragraph" w:styleId="Textedebulles">
    <w:name w:val="Balloon Text"/>
    <w:basedOn w:val="Normal"/>
    <w:link w:val="TextedebullesCar"/>
    <w:uiPriority w:val="99"/>
    <w:semiHidden/>
    <w:unhideWhenUsed/>
    <w:rsid w:val="006F664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F664C"/>
    <w:rPr>
      <w:rFonts w:ascii="Tahoma" w:hAnsi="Tahoma" w:cs="Tahoma"/>
      <w:sz w:val="16"/>
      <w:szCs w:val="16"/>
      <w:lang w:eastAsia="en-US"/>
    </w:rPr>
  </w:style>
  <w:style w:type="paragraph" w:styleId="Paragraphedeliste">
    <w:name w:val="List Paragraph"/>
    <w:basedOn w:val="Normal"/>
    <w:uiPriority w:val="34"/>
    <w:qFormat/>
    <w:rsid w:val="00A715E6"/>
    <w:pPr>
      <w:ind w:left="720"/>
      <w:contextualSpacing/>
    </w:pPr>
    <w:rPr>
      <w:rFonts w:eastAsiaTheme="minorHAnsi" w:cstheme="minorBidi"/>
    </w:rPr>
  </w:style>
  <w:style w:type="paragraph" w:customStyle="1" w:styleId="07Courstitreniveau2">
    <w:name w:val="07_Cours_titre_niveau_2"/>
    <w:basedOn w:val="Normal"/>
    <w:uiPriority w:val="99"/>
    <w:rsid w:val="003A6F4D"/>
    <w:pPr>
      <w:widowControl w:val="0"/>
      <w:spacing w:before="240" w:after="120" w:line="240" w:lineRule="auto"/>
      <w:ind w:left="720" w:hanging="360"/>
      <w:jc w:val="left"/>
    </w:pPr>
    <w:rPr>
      <w:rFonts w:ascii="Arial" w:eastAsia="Times New Roman" w:hAnsi="Arial" w:cs="Times New Roman"/>
      <w:b/>
      <w:bCs/>
      <w:sz w:val="26"/>
      <w:szCs w:val="24"/>
      <w:lang w:eastAsia="fr-FR"/>
    </w:rPr>
  </w:style>
  <w:style w:type="table" w:styleId="Grilledutableau">
    <w:name w:val="Table Grid"/>
    <w:basedOn w:val="TableauNormal"/>
    <w:uiPriority w:val="59"/>
    <w:rsid w:val="003A6F4D"/>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ansinterligne">
    <w:name w:val="No Spacing"/>
    <w:uiPriority w:val="1"/>
    <w:qFormat/>
    <w:rsid w:val="003521D7"/>
    <w:pPr>
      <w:jc w:val="both"/>
    </w:pPr>
    <w:rPr>
      <w:rFonts w:asciiTheme="minorHAnsi" w:hAnsiTheme="minorHAnsi" w:cstheme="minorHAnsi"/>
      <w:sz w:val="22"/>
      <w:szCs w:val="22"/>
      <w:lang w:eastAsia="en-US"/>
    </w:rPr>
  </w:style>
  <w:style w:type="character" w:customStyle="1" w:styleId="Titre4Car">
    <w:name w:val="Titre 4 Car"/>
    <w:basedOn w:val="Policepardfaut"/>
    <w:link w:val="Titre4"/>
    <w:uiPriority w:val="9"/>
    <w:rsid w:val="00986690"/>
    <w:rPr>
      <w:rFonts w:asciiTheme="majorHAnsi" w:eastAsiaTheme="majorEastAsia" w:hAnsiTheme="majorHAnsi" w:cstheme="majorBidi"/>
      <w:i/>
      <w:iCs/>
      <w:color w:val="365F91" w:themeColor="accent1" w:themeShade="BF"/>
      <w:sz w:val="22"/>
      <w:szCs w:val="22"/>
      <w:lang w:eastAsia="en-US"/>
    </w:rPr>
  </w:style>
  <w:style w:type="character" w:styleId="lev">
    <w:name w:val="Strong"/>
    <w:qFormat/>
    <w:rsid w:val="009517EE"/>
    <w:rPr>
      <w:b/>
      <w:bCs/>
    </w:rPr>
  </w:style>
  <w:style w:type="paragraph" w:customStyle="1" w:styleId="Contenudetableau">
    <w:name w:val="Contenu de tableau"/>
    <w:basedOn w:val="Normal"/>
    <w:rsid w:val="009517EE"/>
    <w:pPr>
      <w:suppressLineNumbers/>
      <w:suppressAutoHyphens/>
      <w:spacing w:after="0" w:line="240" w:lineRule="auto"/>
      <w:jc w:val="left"/>
    </w:pPr>
    <w:rPr>
      <w:rFonts w:ascii="Liberation Serif" w:eastAsia="NSimSun" w:hAnsi="Liberation Serif" w:cs="Arial"/>
      <w:kern w:val="2"/>
      <w:sz w:val="24"/>
      <w:szCs w:val="24"/>
      <w:lang w:eastAsia="zh-CN" w:bidi="hi-IN"/>
    </w:rPr>
  </w:style>
  <w:style w:type="paragraph" w:styleId="NormalWeb">
    <w:name w:val="Normal (Web)"/>
    <w:basedOn w:val="Normal"/>
    <w:uiPriority w:val="99"/>
    <w:semiHidden/>
    <w:unhideWhenUsed/>
    <w:rsid w:val="005D1398"/>
    <w:pPr>
      <w:jc w:val="left"/>
    </w:pPr>
    <w:rPr>
      <w:rFonts w:ascii="Times New Roman" w:eastAsiaTheme="minorHAnsi" w:hAnsi="Times New Roman" w:cs="Times New Roman"/>
      <w:sz w:val="24"/>
      <w:szCs w:val="24"/>
    </w:rPr>
  </w:style>
  <w:style w:type="character" w:customStyle="1" w:styleId="e24kjd">
    <w:name w:val="e24kjd"/>
    <w:basedOn w:val="Policepardfaut"/>
    <w:rsid w:val="009A7EAA"/>
  </w:style>
  <w:style w:type="character" w:styleId="Marquedecommentaire">
    <w:name w:val="annotation reference"/>
    <w:basedOn w:val="Policepardfaut"/>
    <w:uiPriority w:val="99"/>
    <w:semiHidden/>
    <w:unhideWhenUsed/>
    <w:rsid w:val="009A7EAA"/>
    <w:rPr>
      <w:sz w:val="16"/>
      <w:szCs w:val="16"/>
    </w:rPr>
  </w:style>
  <w:style w:type="paragraph" w:styleId="Commentaire">
    <w:name w:val="annotation text"/>
    <w:basedOn w:val="Normal"/>
    <w:link w:val="CommentaireCar"/>
    <w:uiPriority w:val="99"/>
    <w:semiHidden/>
    <w:unhideWhenUsed/>
    <w:rsid w:val="009A7EAA"/>
    <w:pPr>
      <w:spacing w:line="240" w:lineRule="auto"/>
    </w:pPr>
    <w:rPr>
      <w:sz w:val="20"/>
      <w:szCs w:val="20"/>
    </w:rPr>
  </w:style>
  <w:style w:type="character" w:customStyle="1" w:styleId="CommentaireCar">
    <w:name w:val="Commentaire Car"/>
    <w:basedOn w:val="Policepardfaut"/>
    <w:link w:val="Commentaire"/>
    <w:uiPriority w:val="99"/>
    <w:semiHidden/>
    <w:rsid w:val="009A7EAA"/>
    <w:rPr>
      <w:rFonts w:asciiTheme="minorHAnsi" w:hAnsiTheme="minorHAnsi" w:cstheme="minorHAnsi"/>
      <w:lang w:eastAsia="en-US"/>
    </w:rPr>
  </w:style>
  <w:style w:type="paragraph" w:styleId="Objetducommentaire">
    <w:name w:val="annotation subject"/>
    <w:basedOn w:val="Commentaire"/>
    <w:next w:val="Commentaire"/>
    <w:link w:val="ObjetducommentaireCar"/>
    <w:uiPriority w:val="99"/>
    <w:semiHidden/>
    <w:unhideWhenUsed/>
    <w:rsid w:val="009A7EAA"/>
    <w:rPr>
      <w:b/>
      <w:bCs/>
    </w:rPr>
  </w:style>
  <w:style w:type="character" w:customStyle="1" w:styleId="ObjetducommentaireCar">
    <w:name w:val="Objet du commentaire Car"/>
    <w:basedOn w:val="CommentaireCar"/>
    <w:link w:val="Objetducommentaire"/>
    <w:uiPriority w:val="99"/>
    <w:semiHidden/>
    <w:rsid w:val="009A7EAA"/>
    <w:rPr>
      <w:rFonts w:asciiTheme="minorHAnsi" w:hAnsiTheme="minorHAnsi" w:cstheme="minorHAns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5509266">
      <w:bodyDiv w:val="1"/>
      <w:marLeft w:val="0"/>
      <w:marRight w:val="0"/>
      <w:marTop w:val="0"/>
      <w:marBottom w:val="0"/>
      <w:divBdr>
        <w:top w:val="none" w:sz="0" w:space="0" w:color="auto"/>
        <w:left w:val="none" w:sz="0" w:space="0" w:color="auto"/>
        <w:bottom w:val="none" w:sz="0" w:space="0" w:color="auto"/>
        <w:right w:val="none" w:sz="0" w:space="0" w:color="auto"/>
      </w:divBdr>
    </w:div>
    <w:div w:id="196434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lecoindesentrepreneurs.fr/le-pret-bancai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coindesentrepreneurs.fr/immobilisation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l-expert-comptable.com/a/532105-comment-fonctionne-l-impot-sur-les-societes.html"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1240</Words>
  <Characters>6820</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
    </vt:vector>
  </TitlesOfParts>
  <Company>Groupe Albin Michel</Company>
  <LinksUpToDate>false</LinksUpToDate>
  <CharactersWithSpaces>8044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Emilie Moulart</dc:creator>
  <cp:lastModifiedBy>anne bonpain</cp:lastModifiedBy>
  <cp:revision>8</cp:revision>
  <dcterms:created xsi:type="dcterms:W3CDTF">2020-04-02T11:08:00Z</dcterms:created>
  <dcterms:modified xsi:type="dcterms:W3CDTF">2020-04-03T09:27:00Z</dcterms:modified>
</cp:coreProperties>
</file>